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1C96A" w14:textId="6C62AD68" w:rsidR="00CA0A55" w:rsidRDefault="00791A0C" w:rsidP="00B04D3B">
      <w:pPr>
        <w:spacing w:after="240" w:line="240" w:lineRule="auto"/>
        <w:rPr>
          <w:rFonts w:ascii="Garamond" w:eastAsia="Times New Roman" w:hAnsi="Garamond" w:cs="Times New Roman"/>
          <w:color w:val="000000"/>
          <w:kern w:val="0"/>
          <w:sz w:val="48"/>
          <w:szCs w:val="48"/>
          <w14:ligatures w14:val="none"/>
        </w:rPr>
      </w:pPr>
      <w:r>
        <w:rPr>
          <w:rFonts w:ascii="Garamond" w:eastAsia="Times New Roman" w:hAnsi="Garamond" w:cs="Times New Roman"/>
          <w:noProof/>
          <w:color w:val="000000"/>
          <w:kern w:val="0"/>
          <w:sz w:val="48"/>
          <w:szCs w:val="48"/>
        </w:rPr>
        <w:drawing>
          <wp:anchor distT="0" distB="0" distL="114300" distR="114300" simplePos="0" relativeHeight="251658240" behindDoc="0" locked="0" layoutInCell="1" allowOverlap="1" wp14:anchorId="20A369E4" wp14:editId="7DE9BEB0">
            <wp:simplePos x="0" y="0"/>
            <wp:positionH relativeFrom="column">
              <wp:posOffset>-1099226</wp:posOffset>
            </wp:positionH>
            <wp:positionV relativeFrom="paragraph">
              <wp:posOffset>-924899</wp:posOffset>
            </wp:positionV>
            <wp:extent cx="8040472" cy="10083444"/>
            <wp:effectExtent l="0" t="0" r="0" b="635"/>
            <wp:wrapNone/>
            <wp:docPr id="15777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4603"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40472" cy="10083444"/>
                    </a:xfrm>
                    <a:prstGeom prst="rect">
                      <a:avLst/>
                    </a:prstGeom>
                  </pic:spPr>
                </pic:pic>
              </a:graphicData>
            </a:graphic>
            <wp14:sizeRelH relativeFrom="page">
              <wp14:pctWidth>0</wp14:pctWidth>
            </wp14:sizeRelH>
            <wp14:sizeRelV relativeFrom="page">
              <wp14:pctHeight>0</wp14:pctHeight>
            </wp14:sizeRelV>
          </wp:anchor>
        </w:drawing>
      </w:r>
    </w:p>
    <w:p w14:paraId="4904F0F6"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1AD2D136"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2B84B787"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0E45E51B"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1605F75E"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6A636CEA"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1CDD9055"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68916578"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57740D4E"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210BB437" w14:textId="77777777" w:rsidR="00D71C94" w:rsidRDefault="00D71C94" w:rsidP="00B04D3B">
      <w:pPr>
        <w:spacing w:after="240" w:line="240" w:lineRule="auto"/>
        <w:rPr>
          <w:rFonts w:ascii="Garamond" w:eastAsia="Times New Roman" w:hAnsi="Garamond" w:cs="Times New Roman"/>
          <w:color w:val="000000"/>
          <w:kern w:val="0"/>
          <w:sz w:val="48"/>
          <w:szCs w:val="48"/>
          <w14:ligatures w14:val="none"/>
        </w:rPr>
      </w:pPr>
    </w:p>
    <w:p w14:paraId="6F43BECB" w14:textId="77777777" w:rsidR="00D71C94" w:rsidRDefault="00D71C94" w:rsidP="00B04D3B">
      <w:pPr>
        <w:spacing w:after="240" w:line="240" w:lineRule="auto"/>
        <w:rPr>
          <w:rFonts w:ascii="Times New Roman" w:eastAsia="Times New Roman" w:hAnsi="Times New Roman" w:cs="Times New Roman"/>
          <w:kern w:val="0"/>
          <w:sz w:val="24"/>
          <w:szCs w:val="24"/>
          <w14:ligatures w14:val="none"/>
        </w:rPr>
      </w:pPr>
    </w:p>
    <w:p w14:paraId="799BC874" w14:textId="77777777" w:rsidR="00CA0A55" w:rsidRDefault="00CA0A55" w:rsidP="00B04D3B">
      <w:pPr>
        <w:spacing w:after="240" w:line="240" w:lineRule="auto"/>
        <w:rPr>
          <w:rFonts w:ascii="Times New Roman" w:eastAsia="Times New Roman" w:hAnsi="Times New Roman" w:cs="Times New Roman"/>
          <w:kern w:val="0"/>
          <w:sz w:val="24"/>
          <w:szCs w:val="24"/>
          <w14:ligatures w14:val="none"/>
        </w:rPr>
      </w:pPr>
    </w:p>
    <w:p w14:paraId="2D686690" w14:textId="77777777" w:rsidR="00CA0A55" w:rsidRDefault="00CA0A55" w:rsidP="00B04D3B">
      <w:pPr>
        <w:spacing w:after="240" w:line="240" w:lineRule="auto"/>
        <w:rPr>
          <w:rFonts w:ascii="Times New Roman" w:eastAsia="Times New Roman" w:hAnsi="Times New Roman" w:cs="Times New Roman"/>
          <w:kern w:val="0"/>
          <w:sz w:val="24"/>
          <w:szCs w:val="24"/>
          <w14:ligatures w14:val="none"/>
        </w:rPr>
      </w:pPr>
    </w:p>
    <w:p w14:paraId="647FB4BF" w14:textId="77777777" w:rsidR="00CA0A55" w:rsidRDefault="00CA0A55" w:rsidP="00B04D3B">
      <w:pPr>
        <w:spacing w:after="240" w:line="240" w:lineRule="auto"/>
        <w:rPr>
          <w:rFonts w:ascii="Times New Roman" w:eastAsia="Times New Roman" w:hAnsi="Times New Roman" w:cs="Times New Roman"/>
          <w:kern w:val="0"/>
          <w:sz w:val="24"/>
          <w:szCs w:val="24"/>
          <w14:ligatures w14:val="none"/>
        </w:rPr>
      </w:pPr>
    </w:p>
    <w:p w14:paraId="21133FE7" w14:textId="77777777" w:rsidR="00CA0A55" w:rsidRDefault="00CA0A55" w:rsidP="00B04D3B">
      <w:pPr>
        <w:spacing w:after="240" w:line="240" w:lineRule="auto"/>
        <w:rPr>
          <w:rFonts w:ascii="Times New Roman" w:eastAsia="Times New Roman" w:hAnsi="Times New Roman" w:cs="Times New Roman"/>
          <w:kern w:val="0"/>
          <w:sz w:val="24"/>
          <w:szCs w:val="24"/>
          <w14:ligatures w14:val="none"/>
        </w:rPr>
      </w:pPr>
    </w:p>
    <w:p w14:paraId="333C1279" w14:textId="77777777" w:rsidR="00CA0A55" w:rsidRDefault="00CA0A55" w:rsidP="00B04D3B">
      <w:pPr>
        <w:spacing w:after="240" w:line="240" w:lineRule="auto"/>
        <w:rPr>
          <w:rFonts w:ascii="Times New Roman" w:eastAsia="Times New Roman" w:hAnsi="Times New Roman" w:cs="Times New Roman"/>
          <w:kern w:val="0"/>
          <w:sz w:val="24"/>
          <w:szCs w:val="24"/>
          <w14:ligatures w14:val="none"/>
        </w:rPr>
      </w:pPr>
    </w:p>
    <w:p w14:paraId="4C73BA7F" w14:textId="77777777" w:rsidR="00D71C94" w:rsidRDefault="00D71C94" w:rsidP="00D71C94">
      <w:pPr>
        <w:spacing w:after="0" w:line="240" w:lineRule="auto"/>
        <w:rPr>
          <w:rFonts w:ascii="Garamond" w:eastAsia="Times New Roman" w:hAnsi="Garamond" w:cs="Times New Roman"/>
          <w:color w:val="000000"/>
          <w:kern w:val="0"/>
          <w:sz w:val="48"/>
          <w:szCs w:val="48"/>
          <w14:ligatures w14:val="none"/>
        </w:rPr>
      </w:pPr>
    </w:p>
    <w:p w14:paraId="4EF03457" w14:textId="77777777" w:rsidR="00D71C94" w:rsidRDefault="00D71C94" w:rsidP="00D71C94">
      <w:pPr>
        <w:spacing w:after="0" w:line="240" w:lineRule="auto"/>
        <w:rPr>
          <w:rFonts w:ascii="Garamond" w:eastAsia="Times New Roman" w:hAnsi="Garamond" w:cs="Times New Roman"/>
          <w:color w:val="000000"/>
          <w:kern w:val="0"/>
          <w:sz w:val="48"/>
          <w:szCs w:val="48"/>
          <w14:ligatures w14:val="none"/>
        </w:rPr>
      </w:pPr>
    </w:p>
    <w:p w14:paraId="4555684D" w14:textId="7A83290D" w:rsidR="00D71C94" w:rsidRDefault="00AF300D" w:rsidP="00D71C94">
      <w:pPr>
        <w:spacing w:after="240" w:line="240" w:lineRule="auto"/>
        <w:rPr>
          <w:rFonts w:ascii="Times New Roman" w:eastAsia="Times New Roman" w:hAnsi="Times New Roman" w:cs="Times New Roman"/>
          <w:kern w:val="0"/>
          <w:sz w:val="24"/>
          <w:szCs w:val="24"/>
          <w14:ligatures w14:val="none"/>
        </w:rPr>
      </w:pPr>
      <w:r w:rsidRPr="00AF300D">
        <w:rPr>
          <w:rFonts w:ascii="Garamond" w:eastAsia="Times New Roman" w:hAnsi="Garamond" w:cs="Times New Roman"/>
          <w:color w:val="000000"/>
          <w:kern w:val="0"/>
          <w:sz w:val="48"/>
          <w:szCs w:val="48"/>
          <w14:ligatures w14:val="none"/>
        </w:rPr>
        <w:t>Discussion Draft/Template for Cybersecurity and Supply Chain Risk Management Plan</w:t>
      </w:r>
      <w:r w:rsidR="00D71C94" w:rsidRPr="00B04D3B">
        <w:rPr>
          <w:rFonts w:ascii="Times New Roman" w:eastAsia="Times New Roman" w:hAnsi="Times New Roman" w:cs="Times New Roman"/>
          <w:kern w:val="0"/>
          <w:sz w:val="24"/>
          <w:szCs w:val="24"/>
          <w14:ligatures w14:val="none"/>
        </w:rPr>
        <w:br/>
      </w:r>
    </w:p>
    <w:p w14:paraId="788F3866"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29738682" w14:textId="77777777" w:rsidR="00D71C94" w:rsidRPr="00B04D3B" w:rsidRDefault="00D71C94" w:rsidP="00D71C94">
      <w:pPr>
        <w:spacing w:after="240" w:line="240" w:lineRule="auto"/>
        <w:rPr>
          <w:rFonts w:ascii="Times New Roman" w:eastAsia="Times New Roman" w:hAnsi="Times New Roman" w:cs="Times New Roman"/>
          <w:kern w:val="0"/>
          <w:sz w:val="24"/>
          <w:szCs w:val="24"/>
          <w14:ligatures w14:val="none"/>
        </w:rPr>
      </w:pPr>
    </w:p>
    <w:p w14:paraId="4FFC00F8" w14:textId="77777777" w:rsidR="00D71C94" w:rsidRPr="00D71C94" w:rsidRDefault="00D71C94" w:rsidP="00D71C94">
      <w:pPr>
        <w:spacing w:after="240" w:line="240" w:lineRule="auto"/>
        <w:jc w:val="center"/>
        <w:rPr>
          <w:rFonts w:ascii="Garamond" w:hAnsi="Garamond" w:cs="Calibri"/>
          <w:b/>
          <w:bCs/>
          <w:color w:val="242424"/>
          <w:shd w:val="clear" w:color="auto" w:fill="FFFFFF"/>
        </w:rPr>
      </w:pPr>
      <w:r w:rsidRPr="00D71C94">
        <w:rPr>
          <w:rFonts w:ascii="Garamond" w:hAnsi="Garamond" w:cs="Calibri"/>
          <w:b/>
          <w:bCs/>
          <w:color w:val="242424"/>
          <w:shd w:val="clear" w:color="auto" w:fill="FFFFFF"/>
        </w:rPr>
        <w:t>Disclaimer:</w:t>
      </w:r>
    </w:p>
    <w:p w14:paraId="11BDF879" w14:textId="56CFDBC8" w:rsidR="00D71C94" w:rsidRDefault="00D71C94" w:rsidP="00D71C94">
      <w:pPr>
        <w:spacing w:after="240" w:line="240" w:lineRule="auto"/>
        <w:rPr>
          <w:rFonts w:ascii="Times New Roman" w:eastAsia="Times New Roman" w:hAnsi="Times New Roman" w:cs="Times New Roman"/>
          <w:kern w:val="0"/>
          <w:sz w:val="24"/>
          <w:szCs w:val="24"/>
          <w14:ligatures w14:val="none"/>
        </w:rPr>
      </w:pPr>
      <w:r w:rsidRPr="00D71C94">
        <w:rPr>
          <w:rFonts w:ascii="Garamond" w:hAnsi="Garamond" w:cs="Calibri"/>
          <w:color w:val="242424"/>
          <w:shd w:val="clear" w:color="auto" w:fill="FFFFFF"/>
        </w:rPr>
        <w:t xml:space="preserve">This </w:t>
      </w:r>
      <w:r w:rsidR="00146846" w:rsidRPr="00146846">
        <w:rPr>
          <w:rFonts w:ascii="Garamond" w:hAnsi="Garamond" w:cs="Calibri"/>
          <w:color w:val="242424"/>
          <w:shd w:val="clear" w:color="auto" w:fill="FFFFFF"/>
        </w:rPr>
        <w:t xml:space="preserve">Discussion Draft/Template for Cybersecurity and Supply Chain Risk Management Plan </w:t>
      </w:r>
      <w:r w:rsidRPr="00D71C94">
        <w:rPr>
          <w:rFonts w:ascii="Garamond" w:hAnsi="Garamond" w:cs="Calibri"/>
          <w:color w:val="242424"/>
          <w:shd w:val="clear" w:color="auto" w:fill="FFFFFF"/>
        </w:rPr>
        <w:t>(“Discussion Draft”) is offered to help your company begin the process of developing its own cybersecurity plan and is intended to spur discussion. Your company’s cybersecurity and supply chain risk management plan should accurately reflect your company’s efforts to offer secure and reliable service to customers. The National Telecommunications Cooperative Association d/b/a NTCA – The Rural Broadband Association (“NTCA”) is offering this Discussion Draft for general information purposes only, and nothing contained herein constitutes legal advice or opinions of any kind.  You use this document at your own risk, and you should not use it without first seeking legal and other professional advice. NTCA makes no representations or warranties, express or implied, with respect to the Discussion Draft, including without limitation any warranties of fitness for a particular purpose. NTCA and its affiliates (and any of their respective directors, officers, agents, contractors, interns, suppliers, and employees) are not responsible for, and expressly disclaim, all liability for, damages of any kind arising out of use, reference to or reliance of any information contained within the Discussion Draft or Cybersecurity Series. Although the Cybersecurity Series may include links providing direct access to internet resources, including websites, NTCA is not responsible for the accuracy or content of information contained in these sites.</w:t>
      </w:r>
      <w:r w:rsidRPr="00D71C94">
        <w:rPr>
          <w:rFonts w:ascii="Garamond" w:eastAsia="Times New Roman" w:hAnsi="Garamond" w:cs="Times New Roman"/>
          <w:kern w:val="0"/>
          <w:sz w:val="24"/>
          <w:szCs w:val="24"/>
          <w14:ligatures w14:val="none"/>
        </w:rPr>
        <w:br/>
      </w:r>
      <w:r w:rsidRPr="00B04D3B">
        <w:rPr>
          <w:rFonts w:ascii="Times New Roman" w:eastAsia="Times New Roman" w:hAnsi="Times New Roman" w:cs="Times New Roman"/>
          <w:kern w:val="0"/>
          <w:sz w:val="24"/>
          <w:szCs w:val="24"/>
          <w14:ligatures w14:val="none"/>
        </w:rPr>
        <w:br/>
      </w:r>
      <w:r w:rsidRPr="00B04D3B">
        <w:rPr>
          <w:rFonts w:ascii="Times New Roman" w:eastAsia="Times New Roman" w:hAnsi="Times New Roman" w:cs="Times New Roman"/>
          <w:kern w:val="0"/>
          <w:sz w:val="24"/>
          <w:szCs w:val="24"/>
          <w14:ligatures w14:val="none"/>
        </w:rPr>
        <w:br/>
      </w:r>
      <w:r w:rsidRPr="00B04D3B">
        <w:rPr>
          <w:rFonts w:ascii="Times New Roman" w:eastAsia="Times New Roman" w:hAnsi="Times New Roman" w:cs="Times New Roman"/>
          <w:kern w:val="0"/>
          <w:sz w:val="24"/>
          <w:szCs w:val="24"/>
          <w14:ligatures w14:val="none"/>
        </w:rPr>
        <w:br/>
      </w:r>
    </w:p>
    <w:p w14:paraId="3FF1ED49"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3F28CD41"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1B57183F"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7749F65C"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6B7D2094"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3A57C307"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53E1C7B9"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17B7D86E"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28DD1B00" w14:textId="7B66325E" w:rsidR="00146846" w:rsidRDefault="00146846" w:rsidP="00D71C94">
      <w:pPr>
        <w:spacing w:after="0" w:line="240" w:lineRule="auto"/>
        <w:rPr>
          <w:rFonts w:ascii="Garamond" w:eastAsia="Times New Roman" w:hAnsi="Garamond" w:cs="Times New Roman"/>
          <w:color w:val="000000"/>
          <w:kern w:val="0"/>
          <w:sz w:val="48"/>
          <w:szCs w:val="48"/>
          <w14:ligatures w14:val="none"/>
        </w:rPr>
      </w:pPr>
      <w:r w:rsidRPr="00146846">
        <w:rPr>
          <w:rFonts w:ascii="Garamond" w:eastAsia="Times New Roman" w:hAnsi="Garamond" w:cs="Times New Roman"/>
          <w:color w:val="000000"/>
          <w:kern w:val="0"/>
          <w:sz w:val="48"/>
          <w:szCs w:val="48"/>
          <w14:ligatures w14:val="none"/>
        </w:rPr>
        <w:lastRenderedPageBreak/>
        <w:t xml:space="preserve">Cybersecurity and Supply Chain Risk Management Plan </w:t>
      </w:r>
    </w:p>
    <w:p w14:paraId="0531E43B" w14:textId="21ADF001" w:rsidR="00D71C94" w:rsidRPr="00B04D3B" w:rsidRDefault="00D71C94" w:rsidP="00D71C94">
      <w:pPr>
        <w:spacing w:after="0" w:line="240" w:lineRule="auto"/>
        <w:rPr>
          <w:rFonts w:ascii="Times New Roman" w:eastAsia="Times New Roman" w:hAnsi="Times New Roman" w:cs="Times New Roman"/>
          <w:kern w:val="0"/>
          <w:sz w:val="24"/>
          <w:szCs w:val="24"/>
          <w14:ligatures w14:val="none"/>
        </w:rPr>
      </w:pPr>
      <w:r w:rsidRPr="00B04D3B">
        <w:rPr>
          <w:rFonts w:ascii="Garamond" w:eastAsia="Times New Roman" w:hAnsi="Garamond" w:cs="Times New Roman"/>
          <w:color w:val="0563C1"/>
          <w:kern w:val="0"/>
          <w:sz w:val="36"/>
          <w:szCs w:val="36"/>
          <w14:ligatures w14:val="none"/>
        </w:rPr>
        <w:t>[</w:t>
      </w:r>
      <w:r>
        <w:rPr>
          <w:rFonts w:ascii="Garamond" w:eastAsia="Times New Roman" w:hAnsi="Garamond" w:cs="Times New Roman"/>
          <w:color w:val="0563C1"/>
          <w:kern w:val="0"/>
          <w:sz w:val="36"/>
          <w:szCs w:val="36"/>
          <w14:ligatures w14:val="none"/>
        </w:rPr>
        <w:t>NTCA Member</w:t>
      </w:r>
      <w:r w:rsidRPr="00B04D3B">
        <w:rPr>
          <w:rFonts w:ascii="Garamond" w:eastAsia="Times New Roman" w:hAnsi="Garamond" w:cs="Times New Roman"/>
          <w:color w:val="0563C1"/>
          <w:kern w:val="0"/>
          <w:sz w:val="36"/>
          <w:szCs w:val="36"/>
          <w14:ligatures w14:val="none"/>
        </w:rPr>
        <w:t xml:space="preserve"> </w:t>
      </w:r>
      <w:r>
        <w:rPr>
          <w:rFonts w:ascii="Garamond" w:eastAsia="Times New Roman" w:hAnsi="Garamond" w:cs="Times New Roman"/>
          <w:color w:val="0563C1"/>
          <w:kern w:val="0"/>
          <w:sz w:val="36"/>
          <w:szCs w:val="36"/>
          <w14:ligatures w14:val="none"/>
        </w:rPr>
        <w:t xml:space="preserve">Company </w:t>
      </w:r>
      <w:r w:rsidRPr="00B04D3B">
        <w:rPr>
          <w:rFonts w:ascii="Garamond" w:eastAsia="Times New Roman" w:hAnsi="Garamond" w:cs="Times New Roman"/>
          <w:color w:val="0563C1"/>
          <w:kern w:val="0"/>
          <w:sz w:val="36"/>
          <w:szCs w:val="36"/>
          <w14:ligatures w14:val="none"/>
        </w:rPr>
        <w:t>Name]</w:t>
      </w:r>
    </w:p>
    <w:p w14:paraId="660D7131" w14:textId="77777777" w:rsidR="00D71C94" w:rsidRPr="00B04D3B" w:rsidRDefault="00D71C94" w:rsidP="00D71C94">
      <w:pPr>
        <w:spacing w:after="0" w:line="240" w:lineRule="auto"/>
        <w:rPr>
          <w:rFonts w:ascii="Times New Roman" w:eastAsia="Times New Roman" w:hAnsi="Times New Roman" w:cs="Times New Roman"/>
          <w:kern w:val="0"/>
          <w:sz w:val="24"/>
          <w:szCs w:val="24"/>
          <w14:ligatures w14:val="none"/>
        </w:rPr>
      </w:pPr>
    </w:p>
    <w:p w14:paraId="2CBC42C3" w14:textId="77777777" w:rsidR="00D71C94" w:rsidRPr="00B04D3B" w:rsidRDefault="00D71C94" w:rsidP="00D71C94">
      <w:pPr>
        <w:spacing w:after="0" w:line="240" w:lineRule="auto"/>
        <w:rPr>
          <w:rFonts w:ascii="Times New Roman" w:eastAsia="Times New Roman" w:hAnsi="Times New Roman" w:cs="Times New Roman"/>
          <w:kern w:val="0"/>
          <w:sz w:val="24"/>
          <w:szCs w:val="24"/>
          <w14:ligatures w14:val="none"/>
        </w:rPr>
      </w:pPr>
      <w:r w:rsidRPr="00B04D3B">
        <w:rPr>
          <w:rFonts w:ascii="Garamond" w:eastAsia="Times New Roman" w:hAnsi="Garamond" w:cs="Times New Roman"/>
          <w:color w:val="0563C1"/>
          <w:kern w:val="0"/>
          <w:sz w:val="28"/>
          <w:szCs w:val="28"/>
          <w14:ligatures w14:val="none"/>
        </w:rPr>
        <w:t>[Version Number]</w:t>
      </w:r>
    </w:p>
    <w:p w14:paraId="4D5A0423" w14:textId="77777777" w:rsidR="00D71C94" w:rsidRPr="00B04D3B" w:rsidRDefault="00D71C94" w:rsidP="00D71C94">
      <w:pPr>
        <w:spacing w:after="0" w:line="240" w:lineRule="auto"/>
        <w:rPr>
          <w:rFonts w:ascii="Times New Roman" w:eastAsia="Times New Roman" w:hAnsi="Times New Roman" w:cs="Times New Roman"/>
          <w:kern w:val="0"/>
          <w:sz w:val="24"/>
          <w:szCs w:val="24"/>
          <w14:ligatures w14:val="none"/>
        </w:rPr>
      </w:pPr>
      <w:r w:rsidRPr="00B04D3B">
        <w:rPr>
          <w:rFonts w:ascii="Garamond" w:eastAsia="Times New Roman" w:hAnsi="Garamond" w:cs="Times New Roman"/>
          <w:color w:val="0563C1"/>
          <w:kern w:val="0"/>
          <w:sz w:val="28"/>
          <w:szCs w:val="28"/>
          <w14:ligatures w14:val="none"/>
        </w:rPr>
        <w:t>[Applicable Period]</w:t>
      </w:r>
    </w:p>
    <w:p w14:paraId="115D8FA1" w14:textId="77777777" w:rsidR="00D71C94" w:rsidRPr="00B04D3B" w:rsidRDefault="00D71C94" w:rsidP="00D71C94">
      <w:pPr>
        <w:spacing w:after="0" w:line="240" w:lineRule="auto"/>
        <w:rPr>
          <w:rFonts w:ascii="Times New Roman" w:eastAsia="Times New Roman" w:hAnsi="Times New Roman" w:cs="Times New Roman"/>
          <w:kern w:val="0"/>
          <w:sz w:val="24"/>
          <w:szCs w:val="24"/>
          <w14:ligatures w14:val="none"/>
        </w:rPr>
      </w:pPr>
    </w:p>
    <w:p w14:paraId="4D5BCFF4" w14:textId="77777777" w:rsidR="00D71C94" w:rsidRPr="00B04D3B" w:rsidRDefault="00D71C94" w:rsidP="00D71C94">
      <w:pPr>
        <w:spacing w:after="0" w:line="240" w:lineRule="auto"/>
        <w:rPr>
          <w:rFonts w:ascii="Times New Roman" w:eastAsia="Times New Roman" w:hAnsi="Times New Roman" w:cs="Times New Roman"/>
          <w:kern w:val="0"/>
          <w:sz w:val="24"/>
          <w:szCs w:val="24"/>
          <w14:ligatures w14:val="none"/>
        </w:rPr>
      </w:pPr>
      <w:r w:rsidRPr="00B04D3B">
        <w:rPr>
          <w:rFonts w:ascii="Garamond" w:eastAsia="Times New Roman" w:hAnsi="Garamond" w:cs="Times New Roman"/>
          <w:color w:val="0563C1"/>
          <w:kern w:val="0"/>
          <w:sz w:val="28"/>
          <w:szCs w:val="28"/>
          <w14:ligatures w14:val="none"/>
        </w:rPr>
        <w:t xml:space="preserve">[Description of </w:t>
      </w:r>
      <w:r>
        <w:rPr>
          <w:rFonts w:ascii="Garamond" w:eastAsia="Times New Roman" w:hAnsi="Garamond" w:cs="Times New Roman"/>
          <w:color w:val="0563C1"/>
          <w:kern w:val="0"/>
          <w:sz w:val="28"/>
          <w:szCs w:val="28"/>
          <w14:ligatures w14:val="none"/>
        </w:rPr>
        <w:t xml:space="preserve">intended audience and </w:t>
      </w:r>
      <w:r w:rsidRPr="00B04D3B">
        <w:rPr>
          <w:rFonts w:ascii="Garamond" w:eastAsia="Times New Roman" w:hAnsi="Garamond" w:cs="Times New Roman"/>
          <w:color w:val="0563C1"/>
          <w:kern w:val="0"/>
          <w:sz w:val="28"/>
          <w:szCs w:val="28"/>
          <w14:ligatures w14:val="none"/>
        </w:rPr>
        <w:t>scope of authorized distribution]</w:t>
      </w:r>
    </w:p>
    <w:p w14:paraId="5645B3E2" w14:textId="77777777" w:rsidR="00D71C94" w:rsidRPr="00B04D3B" w:rsidRDefault="00D71C94" w:rsidP="00D71C94">
      <w:pPr>
        <w:spacing w:after="240" w:line="240" w:lineRule="auto"/>
        <w:rPr>
          <w:rFonts w:ascii="Times New Roman" w:eastAsia="Times New Roman" w:hAnsi="Times New Roman" w:cs="Times New Roman"/>
          <w:kern w:val="0"/>
          <w:sz w:val="24"/>
          <w:szCs w:val="24"/>
          <w14:ligatures w14:val="none"/>
        </w:rPr>
      </w:pPr>
      <w:r w:rsidRPr="00B04D3B">
        <w:rPr>
          <w:rFonts w:ascii="Times New Roman" w:eastAsia="Times New Roman" w:hAnsi="Times New Roman" w:cs="Times New Roman"/>
          <w:kern w:val="0"/>
          <w:sz w:val="24"/>
          <w:szCs w:val="24"/>
          <w14:ligatures w14:val="none"/>
        </w:rPr>
        <w:br/>
      </w:r>
    </w:p>
    <w:p w14:paraId="4B12C2B0" w14:textId="77777777" w:rsidR="00D71C94" w:rsidRPr="00B04D3B" w:rsidRDefault="00D71C94" w:rsidP="00D71C94">
      <w:pPr>
        <w:spacing w:after="0" w:line="240" w:lineRule="auto"/>
        <w:rPr>
          <w:rFonts w:ascii="Times New Roman" w:eastAsia="Times New Roman" w:hAnsi="Times New Roman" w:cs="Times New Roman"/>
          <w:kern w:val="0"/>
          <w:sz w:val="24"/>
          <w:szCs w:val="24"/>
          <w14:ligatures w14:val="none"/>
        </w:rPr>
      </w:pPr>
      <w:r w:rsidRPr="00B04D3B">
        <w:rPr>
          <w:rFonts w:ascii="Garamond" w:eastAsia="Times New Roman" w:hAnsi="Garamond" w:cs="Times New Roman"/>
          <w:color w:val="000000"/>
          <w:kern w:val="0"/>
          <w:sz w:val="28"/>
          <w:szCs w:val="28"/>
          <w14:ligatures w14:val="none"/>
        </w:rPr>
        <w:t xml:space="preserve">Authors: </w:t>
      </w:r>
      <w:r w:rsidRPr="00B04D3B">
        <w:rPr>
          <w:rFonts w:ascii="Garamond" w:eastAsia="Times New Roman" w:hAnsi="Garamond" w:cs="Times New Roman"/>
          <w:color w:val="0563C1"/>
          <w:kern w:val="0"/>
          <w:sz w:val="28"/>
          <w:szCs w:val="28"/>
          <w14:ligatures w14:val="none"/>
        </w:rPr>
        <w:t xml:space="preserve">[Names and </w:t>
      </w:r>
      <w:r>
        <w:rPr>
          <w:rFonts w:ascii="Garamond" w:eastAsia="Times New Roman" w:hAnsi="Garamond" w:cs="Times New Roman"/>
          <w:color w:val="0563C1"/>
          <w:kern w:val="0"/>
          <w:sz w:val="28"/>
          <w:szCs w:val="28"/>
          <w14:ligatures w14:val="none"/>
        </w:rPr>
        <w:t>R</w:t>
      </w:r>
      <w:r w:rsidRPr="00B04D3B">
        <w:rPr>
          <w:rFonts w:ascii="Garamond" w:eastAsia="Times New Roman" w:hAnsi="Garamond" w:cs="Times New Roman"/>
          <w:color w:val="0563C1"/>
          <w:kern w:val="0"/>
          <w:sz w:val="28"/>
          <w:szCs w:val="28"/>
          <w14:ligatures w14:val="none"/>
        </w:rPr>
        <w:t>oles]</w:t>
      </w:r>
    </w:p>
    <w:p w14:paraId="29C3AEC2" w14:textId="77777777" w:rsidR="00D71C94" w:rsidRPr="00B04D3B" w:rsidRDefault="00D71C94" w:rsidP="00D71C94">
      <w:pPr>
        <w:spacing w:after="0" w:line="240" w:lineRule="auto"/>
        <w:rPr>
          <w:rFonts w:ascii="Times New Roman" w:eastAsia="Times New Roman" w:hAnsi="Times New Roman" w:cs="Times New Roman"/>
          <w:kern w:val="0"/>
          <w:sz w:val="24"/>
          <w:szCs w:val="24"/>
          <w14:ligatures w14:val="none"/>
        </w:rPr>
      </w:pPr>
      <w:r w:rsidRPr="00B04D3B">
        <w:rPr>
          <w:rFonts w:ascii="Garamond" w:eastAsia="Times New Roman" w:hAnsi="Garamond" w:cs="Times New Roman"/>
          <w:color w:val="000000"/>
          <w:kern w:val="0"/>
          <w:sz w:val="28"/>
          <w:szCs w:val="28"/>
          <w14:ligatures w14:val="none"/>
        </w:rPr>
        <w:t xml:space="preserve">Approved by: </w:t>
      </w:r>
      <w:r w:rsidRPr="00B04D3B">
        <w:rPr>
          <w:rFonts w:ascii="Garamond" w:eastAsia="Times New Roman" w:hAnsi="Garamond" w:cs="Times New Roman"/>
          <w:color w:val="0563C1"/>
          <w:kern w:val="0"/>
          <w:sz w:val="28"/>
          <w:szCs w:val="28"/>
          <w14:ligatures w14:val="none"/>
        </w:rPr>
        <w:t>[Name, Role]</w:t>
      </w:r>
    </w:p>
    <w:p w14:paraId="531413A1"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r w:rsidRPr="00B04D3B">
        <w:rPr>
          <w:rFonts w:ascii="Times New Roman" w:eastAsia="Times New Roman" w:hAnsi="Times New Roman" w:cs="Times New Roman"/>
          <w:kern w:val="0"/>
          <w:sz w:val="24"/>
          <w:szCs w:val="24"/>
          <w14:ligatures w14:val="none"/>
        </w:rPr>
        <w:br/>
      </w:r>
      <w:r w:rsidRPr="00B04D3B">
        <w:rPr>
          <w:rFonts w:ascii="Times New Roman" w:eastAsia="Times New Roman" w:hAnsi="Times New Roman" w:cs="Times New Roman"/>
          <w:kern w:val="0"/>
          <w:sz w:val="24"/>
          <w:szCs w:val="24"/>
          <w14:ligatures w14:val="none"/>
        </w:rPr>
        <w:br/>
      </w:r>
      <w:r w:rsidRPr="00B04D3B">
        <w:rPr>
          <w:rFonts w:ascii="Times New Roman" w:eastAsia="Times New Roman" w:hAnsi="Times New Roman" w:cs="Times New Roman"/>
          <w:kern w:val="0"/>
          <w:sz w:val="24"/>
          <w:szCs w:val="24"/>
          <w14:ligatures w14:val="none"/>
        </w:rPr>
        <w:br/>
      </w:r>
      <w:r w:rsidRPr="00B04D3B">
        <w:rPr>
          <w:rFonts w:ascii="Times New Roman" w:eastAsia="Times New Roman" w:hAnsi="Times New Roman" w:cs="Times New Roman"/>
          <w:kern w:val="0"/>
          <w:sz w:val="24"/>
          <w:szCs w:val="24"/>
          <w14:ligatures w14:val="none"/>
        </w:rPr>
        <w:br/>
      </w:r>
    </w:p>
    <w:p w14:paraId="4441E872"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2F7F38E7"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3EB6C771"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050E0582"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05F5FC56"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48DE13E2"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0AAD9820"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40B1C0FE"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7E45A10B"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50401BDB"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467979F3"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3D482D81"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1506799E" w14:textId="77777777" w:rsidR="00D71C94" w:rsidRDefault="00D71C94" w:rsidP="00D71C94">
      <w:pPr>
        <w:spacing w:after="240" w:line="240" w:lineRule="auto"/>
        <w:rPr>
          <w:rFonts w:ascii="Times New Roman" w:eastAsia="Times New Roman" w:hAnsi="Times New Roman" w:cs="Times New Roman"/>
          <w:kern w:val="0"/>
          <w:sz w:val="24"/>
          <w:szCs w:val="24"/>
          <w14:ligatures w14:val="none"/>
        </w:rPr>
      </w:pPr>
    </w:p>
    <w:p w14:paraId="34746E60" w14:textId="77777777" w:rsidR="00D71C94" w:rsidRDefault="00D71C94" w:rsidP="00D71C94">
      <w:pPr>
        <w:pStyle w:val="NormalWeb"/>
        <w:spacing w:before="80" w:beforeAutospacing="0" w:after="0" w:afterAutospacing="0"/>
      </w:pPr>
    </w:p>
    <w:p w14:paraId="47F2BCD2" w14:textId="77777777" w:rsidR="00D71C94" w:rsidRDefault="00D71C94" w:rsidP="004E39D5">
      <w:pPr>
        <w:pStyle w:val="NormalWeb"/>
        <w:spacing w:before="80" w:beforeAutospacing="0" w:after="0" w:afterAutospacing="0"/>
      </w:pPr>
    </w:p>
    <w:p w14:paraId="7E12088E" w14:textId="3DFC08E8" w:rsidR="00816D1A" w:rsidRPr="005867A7" w:rsidRDefault="00816D1A" w:rsidP="004E39D5">
      <w:pPr>
        <w:pStyle w:val="NormalWeb"/>
        <w:spacing w:before="80" w:beforeAutospacing="0" w:after="0" w:afterAutospacing="0"/>
        <w:rPr>
          <w:rFonts w:ascii="Garamond" w:hAnsi="Garamond"/>
          <w:b/>
          <w:bCs/>
        </w:rPr>
      </w:pPr>
      <w:r w:rsidRPr="005867A7">
        <w:rPr>
          <w:rFonts w:ascii="Garamond" w:hAnsi="Garamond"/>
          <w:b/>
          <w:bCs/>
        </w:rPr>
        <w:t>Table of Contents</w:t>
      </w:r>
    </w:p>
    <w:p w14:paraId="28BDAE31" w14:textId="77777777" w:rsidR="002D547D" w:rsidRPr="005867A7" w:rsidRDefault="002D547D" w:rsidP="004E39D5">
      <w:pPr>
        <w:pStyle w:val="NormalWeb"/>
        <w:spacing w:before="80" w:beforeAutospacing="0" w:after="0" w:afterAutospacing="0"/>
        <w:rPr>
          <w:rFonts w:ascii="Garamond" w:hAnsi="Garamond"/>
        </w:rPr>
      </w:pPr>
    </w:p>
    <w:p w14:paraId="4F2BD67F" w14:textId="1AA74646" w:rsidR="005867A7" w:rsidRDefault="00146846" w:rsidP="002D547D">
      <w:pPr>
        <w:pStyle w:val="NormalWeb"/>
        <w:numPr>
          <w:ilvl w:val="0"/>
          <w:numId w:val="4"/>
        </w:numPr>
        <w:spacing w:before="80" w:beforeAutospacing="0" w:after="0" w:afterAutospacing="0"/>
        <w:rPr>
          <w:rFonts w:ascii="Garamond" w:hAnsi="Garamond"/>
        </w:rPr>
      </w:pPr>
      <w:r w:rsidRPr="00146846">
        <w:rPr>
          <w:rFonts w:ascii="Garamond" w:hAnsi="Garamond"/>
        </w:rPr>
        <w:t xml:space="preserve">Cybersecurity and Supply Chain Risk Management </w:t>
      </w:r>
      <w:r w:rsidR="005867A7" w:rsidRPr="005867A7">
        <w:rPr>
          <w:rFonts w:ascii="Garamond" w:hAnsi="Garamond"/>
        </w:rPr>
        <w:t>Plan</w:t>
      </w:r>
    </w:p>
    <w:p w14:paraId="46F6EA1D" w14:textId="5EB1E210" w:rsidR="00897982" w:rsidRDefault="00897982" w:rsidP="005867A7">
      <w:pPr>
        <w:pStyle w:val="NormalWeb"/>
        <w:numPr>
          <w:ilvl w:val="1"/>
          <w:numId w:val="4"/>
        </w:numPr>
        <w:spacing w:before="80" w:beforeAutospacing="0" w:after="0" w:afterAutospacing="0"/>
        <w:rPr>
          <w:rFonts w:ascii="Garamond" w:hAnsi="Garamond"/>
        </w:rPr>
      </w:pPr>
      <w:r>
        <w:rPr>
          <w:rFonts w:ascii="Garamond" w:hAnsi="Garamond"/>
        </w:rPr>
        <w:t>Mission and Objectives</w:t>
      </w:r>
    </w:p>
    <w:p w14:paraId="5FBBF583" w14:textId="32B0E2BB" w:rsidR="002D547D" w:rsidRPr="005867A7" w:rsidRDefault="002D547D" w:rsidP="005867A7">
      <w:pPr>
        <w:pStyle w:val="NormalWeb"/>
        <w:numPr>
          <w:ilvl w:val="1"/>
          <w:numId w:val="4"/>
        </w:numPr>
        <w:spacing w:before="80" w:beforeAutospacing="0" w:after="0" w:afterAutospacing="0"/>
        <w:rPr>
          <w:rFonts w:ascii="Garamond" w:hAnsi="Garamond"/>
        </w:rPr>
      </w:pPr>
      <w:r w:rsidRPr="005867A7">
        <w:rPr>
          <w:rFonts w:ascii="Garamond" w:hAnsi="Garamond"/>
        </w:rPr>
        <w:t>General Purpose</w:t>
      </w:r>
      <w:r w:rsidR="005867A7" w:rsidRPr="005867A7">
        <w:rPr>
          <w:rFonts w:ascii="Garamond" w:hAnsi="Garamond"/>
        </w:rPr>
        <w:t xml:space="preserve"> and </w:t>
      </w:r>
      <w:r w:rsidRPr="005867A7">
        <w:rPr>
          <w:rFonts w:ascii="Garamond" w:hAnsi="Garamond"/>
        </w:rPr>
        <w:t xml:space="preserve">Scope </w:t>
      </w:r>
    </w:p>
    <w:p w14:paraId="1D19404A" w14:textId="0C4D3C01" w:rsidR="002D547D" w:rsidRPr="005867A7" w:rsidRDefault="00BC2F16" w:rsidP="005867A7">
      <w:pPr>
        <w:pStyle w:val="NormalWeb"/>
        <w:numPr>
          <w:ilvl w:val="1"/>
          <w:numId w:val="4"/>
        </w:numPr>
        <w:spacing w:before="80" w:beforeAutospacing="0" w:after="0" w:afterAutospacing="0"/>
        <w:rPr>
          <w:rFonts w:ascii="Garamond" w:hAnsi="Garamond"/>
        </w:rPr>
      </w:pPr>
      <w:r>
        <w:rPr>
          <w:rFonts w:ascii="Garamond" w:hAnsi="Garamond"/>
        </w:rPr>
        <w:t xml:space="preserve">Corporate </w:t>
      </w:r>
      <w:r w:rsidR="002D547D" w:rsidRPr="005867A7">
        <w:rPr>
          <w:rFonts w:ascii="Garamond" w:hAnsi="Garamond"/>
        </w:rPr>
        <w:t xml:space="preserve">Governance </w:t>
      </w:r>
      <w:r>
        <w:rPr>
          <w:rFonts w:ascii="Garamond" w:hAnsi="Garamond"/>
        </w:rPr>
        <w:t>and Certification</w:t>
      </w:r>
    </w:p>
    <w:p w14:paraId="51E2E106" w14:textId="66721DED" w:rsidR="002D547D" w:rsidRPr="005867A7" w:rsidRDefault="00897982" w:rsidP="005867A7">
      <w:pPr>
        <w:pStyle w:val="NormalWeb"/>
        <w:numPr>
          <w:ilvl w:val="1"/>
          <w:numId w:val="4"/>
        </w:numPr>
        <w:spacing w:before="80" w:beforeAutospacing="0" w:after="0" w:afterAutospacing="0"/>
        <w:rPr>
          <w:rFonts w:ascii="Garamond" w:hAnsi="Garamond"/>
        </w:rPr>
      </w:pPr>
      <w:r w:rsidRPr="00897982">
        <w:rPr>
          <w:rFonts w:ascii="Garamond" w:hAnsi="Garamond"/>
        </w:rPr>
        <w:t xml:space="preserve">Plan Implementation and Updates </w:t>
      </w:r>
    </w:p>
    <w:p w14:paraId="5E64FEED" w14:textId="77777777" w:rsidR="00B737F3" w:rsidRDefault="00B737F3" w:rsidP="00B737F3">
      <w:pPr>
        <w:pStyle w:val="NormalWeb"/>
        <w:spacing w:before="80" w:beforeAutospacing="0" w:after="0" w:afterAutospacing="0"/>
        <w:ind w:left="720"/>
        <w:rPr>
          <w:rFonts w:ascii="Garamond" w:hAnsi="Garamond"/>
        </w:rPr>
      </w:pPr>
    </w:p>
    <w:p w14:paraId="0FD4F1B1" w14:textId="53F651B9" w:rsidR="002D547D" w:rsidRPr="005867A7" w:rsidRDefault="00FA14BD" w:rsidP="002D547D">
      <w:pPr>
        <w:pStyle w:val="NormalWeb"/>
        <w:numPr>
          <w:ilvl w:val="0"/>
          <w:numId w:val="4"/>
        </w:numPr>
        <w:spacing w:before="80" w:beforeAutospacing="0" w:after="0" w:afterAutospacing="0"/>
        <w:rPr>
          <w:rFonts w:ascii="Garamond" w:hAnsi="Garamond"/>
        </w:rPr>
      </w:pPr>
      <w:r>
        <w:rPr>
          <w:rFonts w:ascii="Garamond" w:hAnsi="Garamond"/>
        </w:rPr>
        <w:t xml:space="preserve">Plan </w:t>
      </w:r>
      <w:r w:rsidR="002D547D" w:rsidRPr="005867A7">
        <w:rPr>
          <w:rFonts w:ascii="Garamond" w:hAnsi="Garamond"/>
        </w:rPr>
        <w:t>Implementation</w:t>
      </w:r>
    </w:p>
    <w:p w14:paraId="1A9C6CD7" w14:textId="77777777" w:rsidR="002D547D" w:rsidRPr="005867A7" w:rsidRDefault="002D547D" w:rsidP="002D547D">
      <w:pPr>
        <w:pStyle w:val="NormalWeb"/>
        <w:numPr>
          <w:ilvl w:val="1"/>
          <w:numId w:val="4"/>
        </w:numPr>
        <w:spacing w:before="80" w:beforeAutospacing="0" w:after="0" w:afterAutospacing="0"/>
        <w:rPr>
          <w:rFonts w:ascii="Garamond" w:hAnsi="Garamond"/>
        </w:rPr>
      </w:pPr>
      <w:r w:rsidRPr="005867A7">
        <w:rPr>
          <w:rFonts w:ascii="Garamond" w:hAnsi="Garamond"/>
        </w:rPr>
        <w:t>Phase One: Initial and Continuous Planning and Governance Priorities</w:t>
      </w:r>
    </w:p>
    <w:p w14:paraId="08748A91" w14:textId="45F672BC" w:rsidR="002D547D" w:rsidRPr="005867A7" w:rsidRDefault="002D547D" w:rsidP="002D547D">
      <w:pPr>
        <w:pStyle w:val="NormalWeb"/>
        <w:numPr>
          <w:ilvl w:val="1"/>
          <w:numId w:val="4"/>
        </w:numPr>
        <w:spacing w:before="80" w:beforeAutospacing="0" w:after="0" w:afterAutospacing="0"/>
        <w:rPr>
          <w:rFonts w:ascii="Garamond" w:hAnsi="Garamond"/>
        </w:rPr>
      </w:pPr>
      <w:r w:rsidRPr="005867A7">
        <w:rPr>
          <w:rFonts w:ascii="Garamond" w:hAnsi="Garamond"/>
        </w:rPr>
        <w:t>Phase Two: Primary Operational Priorities</w:t>
      </w:r>
    </w:p>
    <w:p w14:paraId="044FE799" w14:textId="79ECEF23" w:rsidR="002D547D" w:rsidRPr="005867A7" w:rsidRDefault="002D547D" w:rsidP="002D547D">
      <w:pPr>
        <w:pStyle w:val="NormalWeb"/>
        <w:numPr>
          <w:ilvl w:val="1"/>
          <w:numId w:val="4"/>
        </w:numPr>
        <w:spacing w:before="80" w:beforeAutospacing="0" w:after="0" w:afterAutospacing="0"/>
        <w:rPr>
          <w:rFonts w:ascii="Garamond" w:hAnsi="Garamond"/>
        </w:rPr>
      </w:pPr>
      <w:r w:rsidRPr="005867A7">
        <w:rPr>
          <w:rFonts w:ascii="Garamond" w:hAnsi="Garamond"/>
        </w:rPr>
        <w:t>Phase Three: Longer-Term Operational Priorities</w:t>
      </w:r>
    </w:p>
    <w:p w14:paraId="7F5F1428" w14:textId="77777777" w:rsidR="002D547D" w:rsidRDefault="002D547D" w:rsidP="004E39D5">
      <w:pPr>
        <w:pStyle w:val="NormalWeb"/>
        <w:spacing w:before="80" w:beforeAutospacing="0" w:after="0" w:afterAutospacing="0"/>
      </w:pPr>
    </w:p>
    <w:p w14:paraId="610AB4C3" w14:textId="3244EE9E" w:rsidR="001F103D" w:rsidRDefault="001F103D" w:rsidP="005867A7">
      <w:pPr>
        <w:pStyle w:val="NormalWeb"/>
        <w:spacing w:before="80" w:beforeAutospacing="0" w:after="0" w:afterAutospacing="0"/>
      </w:pPr>
    </w:p>
    <w:p w14:paraId="5273AC23" w14:textId="77777777" w:rsidR="005867A7" w:rsidRDefault="000A2EFB" w:rsidP="004E39D5">
      <w:pPr>
        <w:pStyle w:val="NormalWeb"/>
        <w:spacing w:before="80" w:beforeAutospacing="0" w:after="0" w:afterAutospacing="0"/>
      </w:pPr>
      <w:r>
        <w:tab/>
      </w:r>
    </w:p>
    <w:p w14:paraId="168323BA" w14:textId="77777777" w:rsidR="005867A7" w:rsidRDefault="005867A7">
      <w:pPr>
        <w:rPr>
          <w:rFonts w:ascii="Times New Roman" w:eastAsia="Times New Roman" w:hAnsi="Times New Roman" w:cs="Times New Roman"/>
          <w:kern w:val="0"/>
          <w:sz w:val="24"/>
          <w:szCs w:val="24"/>
          <w14:ligatures w14:val="none"/>
        </w:rPr>
      </w:pPr>
      <w:r>
        <w:br w:type="page"/>
      </w:r>
    </w:p>
    <w:p w14:paraId="3FFE57D5" w14:textId="1E3FA44D" w:rsidR="005867A7" w:rsidRPr="00B737F3" w:rsidRDefault="00146846" w:rsidP="00897982">
      <w:pPr>
        <w:pStyle w:val="NormalWeb"/>
        <w:numPr>
          <w:ilvl w:val="0"/>
          <w:numId w:val="5"/>
        </w:numPr>
        <w:spacing w:before="0" w:beforeAutospacing="0" w:after="240" w:afterAutospacing="0"/>
        <w:rPr>
          <w:rFonts w:ascii="Garamond" w:hAnsi="Garamond"/>
          <w:b/>
          <w:bCs/>
          <w:sz w:val="28"/>
          <w:szCs w:val="28"/>
        </w:rPr>
      </w:pPr>
      <w:r w:rsidRPr="00146846">
        <w:rPr>
          <w:rFonts w:ascii="Garamond" w:hAnsi="Garamond"/>
          <w:b/>
          <w:bCs/>
          <w:sz w:val="28"/>
          <w:szCs w:val="28"/>
        </w:rPr>
        <w:lastRenderedPageBreak/>
        <w:t xml:space="preserve">Cybersecurity and Supply Chain Risk Management </w:t>
      </w:r>
      <w:r w:rsidR="005867A7" w:rsidRPr="00B737F3">
        <w:rPr>
          <w:rFonts w:ascii="Garamond" w:hAnsi="Garamond"/>
          <w:b/>
          <w:bCs/>
          <w:sz w:val="28"/>
          <w:szCs w:val="28"/>
        </w:rPr>
        <w:t xml:space="preserve">Plan </w:t>
      </w:r>
    </w:p>
    <w:p w14:paraId="2E9B2391" w14:textId="77777777" w:rsidR="003C6B06" w:rsidRPr="00B737F3" w:rsidRDefault="003C6B06" w:rsidP="00897982">
      <w:pPr>
        <w:pStyle w:val="NormalWeb"/>
        <w:spacing w:before="0" w:beforeAutospacing="0" w:after="240" w:afterAutospacing="0"/>
        <w:rPr>
          <w:rFonts w:ascii="Garamond" w:hAnsi="Garamond"/>
          <w:b/>
          <w:bCs/>
          <w:i/>
          <w:iCs/>
        </w:rPr>
      </w:pPr>
      <w:r w:rsidRPr="00B737F3">
        <w:rPr>
          <w:rFonts w:ascii="Garamond" w:hAnsi="Garamond"/>
          <w:b/>
          <w:bCs/>
          <w:i/>
          <w:iCs/>
        </w:rPr>
        <w:t>Mission and Objectives</w:t>
      </w:r>
      <w:r>
        <w:rPr>
          <w:rFonts w:ascii="Garamond" w:hAnsi="Garamond"/>
          <w:b/>
          <w:bCs/>
          <w:i/>
          <w:iCs/>
        </w:rPr>
        <w:t>:</w:t>
      </w:r>
    </w:p>
    <w:p w14:paraId="10B03111" w14:textId="752D9409" w:rsidR="003C6B06" w:rsidRPr="005867A7" w:rsidRDefault="00A91BC5" w:rsidP="00897982">
      <w:pPr>
        <w:pStyle w:val="NormalWeb"/>
        <w:spacing w:before="0" w:beforeAutospacing="0" w:after="240" w:afterAutospacing="0"/>
        <w:rPr>
          <w:rFonts w:ascii="Garamond" w:hAnsi="Garamond"/>
        </w:rPr>
      </w:pPr>
      <w:r>
        <w:rPr>
          <w:rFonts w:ascii="Garamond" w:hAnsi="Garamond"/>
        </w:rPr>
        <w:t>[</w:t>
      </w:r>
      <w:r w:rsidRPr="00A91BC5">
        <w:rPr>
          <w:rFonts w:ascii="Garamond" w:hAnsi="Garamond"/>
          <w:color w:val="4472C4" w:themeColor="accent1"/>
        </w:rPr>
        <w:t xml:space="preserve">Insert </w:t>
      </w:r>
      <w:r w:rsidR="00897982">
        <w:rPr>
          <w:rFonts w:ascii="Garamond" w:hAnsi="Garamond"/>
          <w:color w:val="4472C4" w:themeColor="accent1"/>
        </w:rPr>
        <w:t>Company</w:t>
      </w:r>
      <w:r w:rsidRPr="00A91BC5">
        <w:rPr>
          <w:rFonts w:ascii="Garamond" w:hAnsi="Garamond"/>
          <w:color w:val="4472C4" w:themeColor="accent1"/>
        </w:rPr>
        <w:t>’s organizational mission s</w:t>
      </w:r>
      <w:r w:rsidR="003C6B06" w:rsidRPr="00A91BC5">
        <w:rPr>
          <w:rFonts w:ascii="Garamond" w:hAnsi="Garamond"/>
          <w:color w:val="4472C4" w:themeColor="accent1"/>
        </w:rPr>
        <w:t>tatement</w:t>
      </w:r>
      <w:r w:rsidRPr="00A91BC5">
        <w:rPr>
          <w:rFonts w:ascii="Garamond" w:hAnsi="Garamond"/>
          <w:color w:val="4472C4" w:themeColor="accent1"/>
        </w:rPr>
        <w:t>.</w:t>
      </w:r>
      <w:r>
        <w:rPr>
          <w:rFonts w:ascii="Garamond" w:hAnsi="Garamond"/>
        </w:rPr>
        <w:t>]</w:t>
      </w:r>
    </w:p>
    <w:p w14:paraId="1A874B95" w14:textId="36E286FE" w:rsidR="00A91BC5" w:rsidRPr="00344D86" w:rsidRDefault="00A91BC5" w:rsidP="00897982">
      <w:pPr>
        <w:pStyle w:val="NormalWeb"/>
        <w:spacing w:before="0" w:beforeAutospacing="0" w:after="240" w:afterAutospacing="0"/>
        <w:rPr>
          <w:rFonts w:ascii="Garamond" w:hAnsi="Garamond"/>
          <w:color w:val="4472C4" w:themeColor="accent1"/>
        </w:rPr>
      </w:pPr>
      <w:r>
        <w:rPr>
          <w:rFonts w:ascii="Garamond" w:hAnsi="Garamond"/>
        </w:rPr>
        <w:t>[</w:t>
      </w:r>
      <w:r w:rsidR="00897982">
        <w:rPr>
          <w:rFonts w:ascii="Garamond" w:hAnsi="Garamond"/>
          <w:color w:val="4472C4" w:themeColor="accent1"/>
        </w:rPr>
        <w:t>Company</w:t>
      </w:r>
      <w:r w:rsidRPr="00A91BC5">
        <w:rPr>
          <w:rFonts w:ascii="Garamond" w:hAnsi="Garamond"/>
          <w:color w:val="4472C4" w:themeColor="accent1"/>
        </w:rPr>
        <w:t>’s</w:t>
      </w:r>
      <w:r>
        <w:rPr>
          <w:rFonts w:ascii="Garamond" w:hAnsi="Garamond"/>
        </w:rPr>
        <w:t xml:space="preserve">] primary objective in implementing our </w:t>
      </w:r>
      <w:r w:rsidR="00146846" w:rsidRPr="00146846">
        <w:rPr>
          <w:rFonts w:ascii="Garamond" w:hAnsi="Garamond"/>
        </w:rPr>
        <w:t xml:space="preserve">Cybersecurity and Supply Chain Risk Management Plan </w:t>
      </w:r>
      <w:r>
        <w:rPr>
          <w:rFonts w:ascii="Garamond" w:hAnsi="Garamond"/>
        </w:rPr>
        <w:t>(“Plan”) is secure, reliable [</w:t>
      </w:r>
      <w:r w:rsidRPr="00A91BC5">
        <w:rPr>
          <w:rFonts w:ascii="Garamond" w:hAnsi="Garamond"/>
          <w:color w:val="4472C4" w:themeColor="accent1"/>
        </w:rPr>
        <w:t>telecommunications and/or broadband</w:t>
      </w:r>
      <w:r>
        <w:rPr>
          <w:rFonts w:ascii="Garamond" w:hAnsi="Garamond"/>
        </w:rPr>
        <w:t xml:space="preserve">] service for our customers.  In striving </w:t>
      </w:r>
      <w:r w:rsidR="006F754F">
        <w:rPr>
          <w:rFonts w:ascii="Garamond" w:hAnsi="Garamond"/>
        </w:rPr>
        <w:t>to meet</w:t>
      </w:r>
      <w:r>
        <w:rPr>
          <w:rFonts w:ascii="Garamond" w:hAnsi="Garamond"/>
        </w:rPr>
        <w:t xml:space="preserve"> this objective, we have also designed and implemented the Plan to fulfill the requirements </w:t>
      </w:r>
      <w:r w:rsidR="00FB3944">
        <w:rPr>
          <w:rFonts w:ascii="Garamond" w:hAnsi="Garamond"/>
        </w:rPr>
        <w:t xml:space="preserve">that apply to </w:t>
      </w:r>
      <w:r w:rsidR="00B6560C">
        <w:rPr>
          <w:rFonts w:ascii="Garamond" w:hAnsi="Garamond"/>
        </w:rPr>
        <w:t>[</w:t>
      </w:r>
      <w:r w:rsidR="00FB3944" w:rsidRPr="00344D86">
        <w:rPr>
          <w:rFonts w:ascii="Garamond" w:hAnsi="Garamond"/>
          <w:color w:val="4472C4" w:themeColor="accent1"/>
        </w:rPr>
        <w:t>Enhanced A-CAM carriers</w:t>
      </w:r>
      <w:r w:rsidR="00B6560C" w:rsidRPr="00344D86">
        <w:rPr>
          <w:rFonts w:ascii="Garamond" w:hAnsi="Garamond"/>
          <w:color w:val="4472C4" w:themeColor="accent1"/>
        </w:rPr>
        <w:t>/reference to other filing requirement]</w:t>
      </w:r>
    </w:p>
    <w:p w14:paraId="4E7653B7" w14:textId="73623B3B" w:rsidR="00B737F3" w:rsidRPr="00BC2F16" w:rsidRDefault="005867A7" w:rsidP="00897982">
      <w:pPr>
        <w:pStyle w:val="NormalWeb"/>
        <w:spacing w:before="0" w:beforeAutospacing="0" w:after="240" w:afterAutospacing="0"/>
        <w:rPr>
          <w:rFonts w:ascii="Garamond" w:hAnsi="Garamond"/>
          <w:b/>
          <w:bCs/>
          <w:i/>
          <w:iCs/>
        </w:rPr>
      </w:pPr>
      <w:r w:rsidRPr="00B737F3">
        <w:rPr>
          <w:rFonts w:ascii="Garamond" w:hAnsi="Garamond"/>
          <w:b/>
          <w:bCs/>
          <w:i/>
          <w:iCs/>
        </w:rPr>
        <w:t>General Purpose and Scope</w:t>
      </w:r>
      <w:r w:rsidR="003C6B06">
        <w:rPr>
          <w:rFonts w:ascii="Garamond" w:hAnsi="Garamond"/>
          <w:b/>
          <w:bCs/>
          <w:i/>
          <w:iCs/>
        </w:rPr>
        <w:t>:</w:t>
      </w:r>
    </w:p>
    <w:p w14:paraId="108DFAB2" w14:textId="0032C3D2" w:rsidR="00BC2F16" w:rsidRDefault="00B737F3" w:rsidP="00897982">
      <w:pPr>
        <w:pStyle w:val="NormalWeb"/>
        <w:spacing w:before="0" w:beforeAutospacing="0" w:after="240" w:afterAutospacing="0"/>
        <w:rPr>
          <w:rFonts w:ascii="Garamond" w:hAnsi="Garamond"/>
        </w:rPr>
      </w:pPr>
      <w:r>
        <w:rPr>
          <w:rFonts w:ascii="Garamond" w:hAnsi="Garamond"/>
        </w:rPr>
        <w:t>[</w:t>
      </w:r>
      <w:r w:rsidR="00897982">
        <w:rPr>
          <w:rFonts w:ascii="Garamond" w:hAnsi="Garamond"/>
          <w:color w:val="4472C4" w:themeColor="accent1"/>
        </w:rPr>
        <w:t>Company</w:t>
      </w:r>
      <w:r w:rsidRPr="003C6B06">
        <w:rPr>
          <w:rFonts w:ascii="Garamond" w:hAnsi="Garamond"/>
          <w:color w:val="4472C4" w:themeColor="accent1"/>
        </w:rPr>
        <w:t>’s</w:t>
      </w:r>
      <w:r>
        <w:rPr>
          <w:rFonts w:ascii="Garamond" w:hAnsi="Garamond"/>
        </w:rPr>
        <w:t xml:space="preserve">] </w:t>
      </w:r>
      <w:r w:rsidR="00A91BC5">
        <w:rPr>
          <w:rFonts w:ascii="Garamond" w:hAnsi="Garamond"/>
        </w:rPr>
        <w:t xml:space="preserve">comprehensive </w:t>
      </w:r>
      <w:r>
        <w:rPr>
          <w:rFonts w:ascii="Garamond" w:hAnsi="Garamond"/>
        </w:rPr>
        <w:t>Plan deriv</w:t>
      </w:r>
      <w:r w:rsidR="00BC2F16">
        <w:rPr>
          <w:rFonts w:ascii="Garamond" w:hAnsi="Garamond"/>
        </w:rPr>
        <w:t>es</w:t>
      </w:r>
      <w:r>
        <w:rPr>
          <w:rFonts w:ascii="Garamond" w:hAnsi="Garamond"/>
        </w:rPr>
        <w:t xml:space="preserve"> from NIST and CISA guidanc</w:t>
      </w:r>
      <w:r w:rsidR="00BC2F16">
        <w:rPr>
          <w:rFonts w:ascii="Garamond" w:hAnsi="Garamond"/>
        </w:rPr>
        <w:t xml:space="preserve">e, tailored to </w:t>
      </w:r>
      <w:r w:rsidR="00A91BC5">
        <w:rPr>
          <w:rFonts w:ascii="Garamond" w:hAnsi="Garamond"/>
        </w:rPr>
        <w:t xml:space="preserve">our </w:t>
      </w:r>
      <w:r w:rsidR="00BC2F16">
        <w:rPr>
          <w:rFonts w:ascii="Garamond" w:hAnsi="Garamond"/>
        </w:rPr>
        <w:t xml:space="preserve">specific operational needs.  Specifically, the Plan reflects Draft Version 2.0 of NIST’s Cybersecurity Framework (“CSF 2.0”) and implements the Draft’s new Core Function, Governance, and the new Category, Supply Chain Risk Management.  Through its three-phase implementation of CSF 2.0 as described below in Part 2 (Implementation), the Plan also </w:t>
      </w:r>
      <w:r w:rsidR="007E39A0">
        <w:rPr>
          <w:rFonts w:ascii="Garamond" w:hAnsi="Garamond"/>
        </w:rPr>
        <w:t>reflects</w:t>
      </w:r>
      <w:r w:rsidR="00BC2F16">
        <w:rPr>
          <w:rFonts w:ascii="Garamond" w:hAnsi="Garamond"/>
        </w:rPr>
        <w:t xml:space="preserve"> CISA’s Cybersecurity Performance Goals </w:t>
      </w:r>
      <w:r w:rsidR="00B22B04">
        <w:rPr>
          <w:rFonts w:ascii="Garamond" w:hAnsi="Garamond"/>
        </w:rPr>
        <w:t xml:space="preserve">(CPGs) </w:t>
      </w:r>
      <w:r w:rsidR="00BC2F16">
        <w:rPr>
          <w:rFonts w:ascii="Garamond" w:hAnsi="Garamond"/>
        </w:rPr>
        <w:t xml:space="preserve">and </w:t>
      </w:r>
      <w:r w:rsidR="007E39A0">
        <w:rPr>
          <w:rFonts w:ascii="Garamond" w:hAnsi="Garamond"/>
        </w:rPr>
        <w:t xml:space="preserve">incorporates </w:t>
      </w:r>
      <w:r w:rsidR="00BC2F16">
        <w:rPr>
          <w:rFonts w:ascii="Garamond" w:hAnsi="Garamond"/>
        </w:rPr>
        <w:t xml:space="preserve">NIST’s guidance on supply chain risk management, namely </w:t>
      </w:r>
      <w:r w:rsidR="000D6C12">
        <w:rPr>
          <w:rFonts w:ascii="Garamond" w:hAnsi="Garamond"/>
        </w:rPr>
        <w:t xml:space="preserve">the Key Practices identified in </w:t>
      </w:r>
      <w:r w:rsidR="00BC2F16">
        <w:rPr>
          <w:rFonts w:ascii="Garamond" w:hAnsi="Garamond"/>
        </w:rPr>
        <w:t xml:space="preserve">NISTIR 8276 and </w:t>
      </w:r>
      <w:r w:rsidR="000D6C12">
        <w:rPr>
          <w:rFonts w:ascii="Garamond" w:hAnsi="Garamond"/>
        </w:rPr>
        <w:t xml:space="preserve">related guidance from </w:t>
      </w:r>
      <w:r w:rsidR="00BC2F16">
        <w:rPr>
          <w:rFonts w:ascii="Garamond" w:hAnsi="Garamond"/>
        </w:rPr>
        <w:t>SP 800-161.</w:t>
      </w:r>
    </w:p>
    <w:p w14:paraId="7062A0C5" w14:textId="1D5B1849" w:rsidR="005867A7" w:rsidRPr="00BC2F16" w:rsidRDefault="00BC2F16" w:rsidP="00897982">
      <w:pPr>
        <w:pStyle w:val="NormalWeb"/>
        <w:spacing w:before="0" w:beforeAutospacing="0" w:after="240" w:afterAutospacing="0"/>
        <w:rPr>
          <w:rFonts w:ascii="Garamond" w:hAnsi="Garamond"/>
          <w:b/>
          <w:bCs/>
          <w:i/>
          <w:iCs/>
        </w:rPr>
      </w:pPr>
      <w:r w:rsidRPr="00BC2F16">
        <w:rPr>
          <w:rFonts w:ascii="Garamond" w:hAnsi="Garamond"/>
          <w:b/>
          <w:bCs/>
          <w:i/>
          <w:iCs/>
        </w:rPr>
        <w:t xml:space="preserve">Corporate </w:t>
      </w:r>
      <w:r w:rsidR="005867A7" w:rsidRPr="00BC2F16">
        <w:rPr>
          <w:rFonts w:ascii="Garamond" w:hAnsi="Garamond"/>
          <w:b/>
          <w:bCs/>
          <w:i/>
          <w:iCs/>
        </w:rPr>
        <w:t xml:space="preserve">Governance </w:t>
      </w:r>
      <w:r>
        <w:rPr>
          <w:rFonts w:ascii="Garamond" w:hAnsi="Garamond"/>
          <w:b/>
          <w:bCs/>
          <w:i/>
          <w:iCs/>
        </w:rPr>
        <w:t>and Certification</w:t>
      </w:r>
      <w:r w:rsidR="003C6B06">
        <w:rPr>
          <w:rFonts w:ascii="Garamond" w:hAnsi="Garamond"/>
          <w:b/>
          <w:bCs/>
          <w:i/>
          <w:iCs/>
        </w:rPr>
        <w:t>:</w:t>
      </w:r>
      <w:r>
        <w:rPr>
          <w:rFonts w:ascii="Garamond" w:hAnsi="Garamond"/>
          <w:b/>
          <w:bCs/>
          <w:i/>
          <w:iCs/>
        </w:rPr>
        <w:t xml:space="preserve"> </w:t>
      </w:r>
    </w:p>
    <w:p w14:paraId="55B02D22" w14:textId="2C9BEE2B" w:rsidR="00FA14BD" w:rsidRDefault="00A91BC5" w:rsidP="00897982">
      <w:pPr>
        <w:pStyle w:val="NormalWeb"/>
        <w:spacing w:before="0" w:beforeAutospacing="0" w:after="240" w:afterAutospacing="0"/>
        <w:rPr>
          <w:rFonts w:ascii="Garamond" w:hAnsi="Garamond"/>
        </w:rPr>
      </w:pPr>
      <w:r>
        <w:rPr>
          <w:rFonts w:ascii="Garamond" w:hAnsi="Garamond"/>
        </w:rPr>
        <w:t>[</w:t>
      </w:r>
      <w:r w:rsidR="00897982">
        <w:rPr>
          <w:rFonts w:ascii="Garamond" w:hAnsi="Garamond"/>
          <w:color w:val="4472C4" w:themeColor="accent1"/>
        </w:rPr>
        <w:t>Company</w:t>
      </w:r>
      <w:r w:rsidRPr="00A91BC5">
        <w:rPr>
          <w:rFonts w:ascii="Garamond" w:hAnsi="Garamond"/>
          <w:color w:val="4472C4" w:themeColor="accent1"/>
        </w:rPr>
        <w:t xml:space="preserve">’s </w:t>
      </w:r>
      <w:r w:rsidR="005867A7" w:rsidRPr="00A91BC5">
        <w:rPr>
          <w:rFonts w:ascii="Garamond" w:hAnsi="Garamond"/>
          <w:color w:val="4472C4" w:themeColor="accent1"/>
        </w:rPr>
        <w:t>Board</w:t>
      </w:r>
      <w:r w:rsidRPr="00A91BC5">
        <w:rPr>
          <w:rFonts w:ascii="Garamond" w:hAnsi="Garamond"/>
          <w:color w:val="4472C4" w:themeColor="accent1"/>
        </w:rPr>
        <w:t xml:space="preserve"> and/or </w:t>
      </w:r>
      <w:r w:rsidR="005867A7" w:rsidRPr="00A91BC5">
        <w:rPr>
          <w:rFonts w:ascii="Garamond" w:hAnsi="Garamond"/>
          <w:color w:val="4472C4" w:themeColor="accent1"/>
        </w:rPr>
        <w:t xml:space="preserve">Executive </w:t>
      </w:r>
      <w:r w:rsidRPr="00A91BC5">
        <w:rPr>
          <w:rFonts w:ascii="Garamond" w:hAnsi="Garamond"/>
          <w:color w:val="4472C4" w:themeColor="accent1"/>
        </w:rPr>
        <w:t>Officers</w:t>
      </w:r>
      <w:r>
        <w:rPr>
          <w:rFonts w:ascii="Garamond" w:hAnsi="Garamond"/>
        </w:rPr>
        <w:t xml:space="preserve">] certify review and approval of the Plan for the purposes of </w:t>
      </w:r>
      <w:r w:rsidR="00FA14BD">
        <w:rPr>
          <w:rFonts w:ascii="Garamond" w:hAnsi="Garamond"/>
        </w:rPr>
        <w:t xml:space="preserve">meeting the above objectives and for compliance with </w:t>
      </w:r>
      <w:r w:rsidR="00B6560C" w:rsidRPr="00344D86">
        <w:rPr>
          <w:rFonts w:ascii="Garamond" w:hAnsi="Garamond"/>
          <w:color w:val="4472C4" w:themeColor="accent1"/>
        </w:rPr>
        <w:t>[</w:t>
      </w:r>
      <w:r w:rsidR="000D6C12" w:rsidRPr="00344D86">
        <w:rPr>
          <w:rFonts w:ascii="Garamond" w:hAnsi="Garamond"/>
          <w:color w:val="4472C4" w:themeColor="accent1"/>
        </w:rPr>
        <w:t>Enhanced A-</w:t>
      </w:r>
      <w:r w:rsidRPr="00344D86">
        <w:rPr>
          <w:rFonts w:ascii="Garamond" w:hAnsi="Garamond"/>
          <w:color w:val="4472C4" w:themeColor="accent1"/>
        </w:rPr>
        <w:t>CAM</w:t>
      </w:r>
      <w:r w:rsidR="00B6560C" w:rsidRPr="00344D86">
        <w:rPr>
          <w:rFonts w:ascii="Garamond" w:hAnsi="Garamond"/>
          <w:color w:val="4472C4" w:themeColor="accent1"/>
        </w:rPr>
        <w:t>]</w:t>
      </w:r>
      <w:r w:rsidR="00FA14BD" w:rsidRPr="00344D86">
        <w:rPr>
          <w:rFonts w:ascii="Garamond" w:hAnsi="Garamond"/>
          <w:color w:val="4472C4" w:themeColor="accent1"/>
        </w:rPr>
        <w:t xml:space="preserve"> </w:t>
      </w:r>
      <w:r w:rsidR="00FA14BD">
        <w:rPr>
          <w:rFonts w:ascii="Garamond" w:hAnsi="Garamond"/>
        </w:rPr>
        <w:t>requirements</w:t>
      </w:r>
      <w:r w:rsidR="00182351">
        <w:rPr>
          <w:rFonts w:ascii="Garamond" w:hAnsi="Garamond"/>
        </w:rPr>
        <w:t xml:space="preserve"> </w:t>
      </w:r>
      <w:r>
        <w:rPr>
          <w:rFonts w:ascii="Garamond" w:hAnsi="Garamond"/>
        </w:rPr>
        <w:t xml:space="preserve">and take ultimate responsibility for its implementation as outlined below.  </w:t>
      </w:r>
    </w:p>
    <w:p w14:paraId="12BE9417" w14:textId="597885E4" w:rsidR="005867A7" w:rsidRPr="005867A7" w:rsidRDefault="00FA14BD" w:rsidP="00897982">
      <w:pPr>
        <w:pStyle w:val="NormalWeb"/>
        <w:spacing w:before="0" w:beforeAutospacing="0" w:after="240" w:afterAutospacing="0"/>
        <w:rPr>
          <w:rFonts w:ascii="Garamond" w:hAnsi="Garamond"/>
        </w:rPr>
      </w:pPr>
      <w:r>
        <w:rPr>
          <w:rFonts w:ascii="Garamond" w:hAnsi="Garamond"/>
        </w:rPr>
        <w:t>On a day</w:t>
      </w:r>
      <w:r w:rsidR="00151547">
        <w:rPr>
          <w:rFonts w:ascii="Garamond" w:hAnsi="Garamond"/>
        </w:rPr>
        <w:t>-</w:t>
      </w:r>
      <w:r>
        <w:rPr>
          <w:rFonts w:ascii="Garamond" w:hAnsi="Garamond"/>
        </w:rPr>
        <w:t>to</w:t>
      </w:r>
      <w:r w:rsidR="00151547">
        <w:rPr>
          <w:rFonts w:ascii="Garamond" w:hAnsi="Garamond"/>
        </w:rPr>
        <w:t>-</w:t>
      </w:r>
      <w:r>
        <w:rPr>
          <w:rFonts w:ascii="Garamond" w:hAnsi="Garamond"/>
        </w:rPr>
        <w:t>day basis, pursuant to the Governance function described below, [</w:t>
      </w:r>
      <w:r w:rsidRPr="00FA14BD">
        <w:rPr>
          <w:rFonts w:ascii="Garamond" w:hAnsi="Garamond"/>
          <w:color w:val="4472C4" w:themeColor="accent1"/>
        </w:rPr>
        <w:t xml:space="preserve">named </w:t>
      </w:r>
      <w:r w:rsidR="00897982">
        <w:rPr>
          <w:rFonts w:ascii="Garamond" w:hAnsi="Garamond"/>
          <w:color w:val="4472C4" w:themeColor="accent1"/>
        </w:rPr>
        <w:t>Company</w:t>
      </w:r>
      <w:r w:rsidRPr="00FA14BD">
        <w:rPr>
          <w:rFonts w:ascii="Garamond" w:hAnsi="Garamond"/>
          <w:color w:val="4472C4" w:themeColor="accent1"/>
        </w:rPr>
        <w:t xml:space="preserve"> executive</w:t>
      </w:r>
      <w:r>
        <w:rPr>
          <w:rFonts w:ascii="Garamond" w:hAnsi="Garamond"/>
        </w:rPr>
        <w:t>] oversees implementation of the Plan.  [</w:t>
      </w:r>
      <w:r w:rsidRPr="00FA14BD">
        <w:rPr>
          <w:rFonts w:ascii="Garamond" w:hAnsi="Garamond"/>
          <w:color w:val="4472C4" w:themeColor="accent1"/>
        </w:rPr>
        <w:t>Insert additional brief description of executive roles and responsibilities as appropriate.</w:t>
      </w:r>
      <w:r>
        <w:rPr>
          <w:rFonts w:ascii="Garamond" w:hAnsi="Garamond"/>
        </w:rPr>
        <w:t>]</w:t>
      </w:r>
    </w:p>
    <w:p w14:paraId="6545C8FD" w14:textId="0695B880" w:rsidR="00FA14BD" w:rsidRPr="000E317C" w:rsidRDefault="00FA14BD" w:rsidP="00897982">
      <w:pPr>
        <w:pStyle w:val="NormalWeb"/>
        <w:spacing w:before="0" w:beforeAutospacing="0" w:after="240" w:afterAutospacing="0"/>
        <w:rPr>
          <w:rFonts w:ascii="Garamond" w:hAnsi="Garamond"/>
          <w:b/>
          <w:bCs/>
          <w:i/>
          <w:iCs/>
        </w:rPr>
      </w:pPr>
      <w:r w:rsidRPr="000E317C">
        <w:rPr>
          <w:rFonts w:ascii="Garamond" w:hAnsi="Garamond"/>
          <w:b/>
          <w:bCs/>
          <w:i/>
          <w:iCs/>
        </w:rPr>
        <w:t xml:space="preserve">Plan Implementation and </w:t>
      </w:r>
      <w:r w:rsidR="000E317C" w:rsidRPr="000E317C">
        <w:rPr>
          <w:rFonts w:ascii="Garamond" w:hAnsi="Garamond"/>
          <w:b/>
          <w:bCs/>
          <w:i/>
          <w:iCs/>
        </w:rPr>
        <w:t>Updates</w:t>
      </w:r>
      <w:r w:rsidRPr="000E317C">
        <w:rPr>
          <w:rFonts w:ascii="Garamond" w:hAnsi="Garamond"/>
          <w:b/>
          <w:bCs/>
          <w:i/>
          <w:iCs/>
        </w:rPr>
        <w:t>:</w:t>
      </w:r>
    </w:p>
    <w:p w14:paraId="60619EDC" w14:textId="63289309" w:rsidR="000E317C" w:rsidRPr="00FA14BD" w:rsidRDefault="000E317C" w:rsidP="00897982">
      <w:pPr>
        <w:pStyle w:val="NormalWeb"/>
        <w:spacing w:before="0" w:beforeAutospacing="0" w:after="240" w:afterAutospacing="0"/>
        <w:rPr>
          <w:rFonts w:ascii="Garamond" w:hAnsi="Garamond"/>
        </w:rPr>
      </w:pPr>
      <w:r w:rsidRPr="00FA14BD">
        <w:rPr>
          <w:rFonts w:ascii="Garamond" w:hAnsi="Garamond"/>
        </w:rPr>
        <w:t xml:space="preserve">The Plan consists of three </w:t>
      </w:r>
      <w:r>
        <w:rPr>
          <w:rFonts w:ascii="Garamond" w:hAnsi="Garamond"/>
        </w:rPr>
        <w:t xml:space="preserve">interrelated and </w:t>
      </w:r>
      <w:r w:rsidRPr="00FA14BD">
        <w:rPr>
          <w:rFonts w:ascii="Garamond" w:hAnsi="Garamond"/>
        </w:rPr>
        <w:t>mutually reinforcing phases:</w:t>
      </w:r>
    </w:p>
    <w:p w14:paraId="1C183F42" w14:textId="77777777" w:rsidR="000E317C" w:rsidRPr="00FA14BD" w:rsidRDefault="000E317C" w:rsidP="00897982">
      <w:pPr>
        <w:pStyle w:val="NormalWeb"/>
        <w:numPr>
          <w:ilvl w:val="0"/>
          <w:numId w:val="6"/>
        </w:numPr>
        <w:spacing w:before="0" w:beforeAutospacing="0" w:after="0" w:afterAutospacing="0"/>
        <w:rPr>
          <w:rFonts w:ascii="Garamond" w:hAnsi="Garamond"/>
        </w:rPr>
      </w:pPr>
      <w:r w:rsidRPr="00FA14BD">
        <w:rPr>
          <w:rFonts w:ascii="Garamond" w:hAnsi="Garamond"/>
        </w:rPr>
        <w:t>Phase One: Initial and Continuous Planning and Governance Priorities</w:t>
      </w:r>
    </w:p>
    <w:p w14:paraId="693F7894" w14:textId="77777777" w:rsidR="000E317C" w:rsidRPr="00FA14BD" w:rsidRDefault="000E317C" w:rsidP="00897982">
      <w:pPr>
        <w:pStyle w:val="NormalWeb"/>
        <w:numPr>
          <w:ilvl w:val="0"/>
          <w:numId w:val="6"/>
        </w:numPr>
        <w:spacing w:before="0" w:beforeAutospacing="0" w:after="0" w:afterAutospacing="0"/>
        <w:rPr>
          <w:rFonts w:ascii="Garamond" w:hAnsi="Garamond"/>
        </w:rPr>
      </w:pPr>
      <w:r w:rsidRPr="00FA14BD">
        <w:rPr>
          <w:rFonts w:ascii="Garamond" w:hAnsi="Garamond"/>
        </w:rPr>
        <w:t>Phase Two: Primary Operational Priorities</w:t>
      </w:r>
    </w:p>
    <w:p w14:paraId="4301A90C" w14:textId="77777777" w:rsidR="000E317C" w:rsidRPr="00FA14BD" w:rsidRDefault="000E317C" w:rsidP="00897982">
      <w:pPr>
        <w:pStyle w:val="NormalWeb"/>
        <w:numPr>
          <w:ilvl w:val="0"/>
          <w:numId w:val="6"/>
        </w:numPr>
        <w:spacing w:before="0" w:beforeAutospacing="0" w:after="0" w:afterAutospacing="0"/>
        <w:rPr>
          <w:rFonts w:ascii="Garamond" w:hAnsi="Garamond"/>
        </w:rPr>
      </w:pPr>
      <w:r w:rsidRPr="00FA14BD">
        <w:rPr>
          <w:rFonts w:ascii="Garamond" w:hAnsi="Garamond"/>
        </w:rPr>
        <w:t>Phase Three: Longer-Term Operational Priorities</w:t>
      </w:r>
    </w:p>
    <w:p w14:paraId="0226A0BA" w14:textId="77777777" w:rsidR="00897982" w:rsidRDefault="00897982" w:rsidP="00897982">
      <w:pPr>
        <w:pStyle w:val="NormalWeb"/>
        <w:spacing w:before="0" w:beforeAutospacing="0" w:after="0" w:afterAutospacing="0"/>
        <w:rPr>
          <w:rFonts w:ascii="Garamond" w:hAnsi="Garamond"/>
        </w:rPr>
      </w:pPr>
    </w:p>
    <w:p w14:paraId="572772B8" w14:textId="3059DAAB" w:rsidR="000E317C" w:rsidRDefault="000E317C" w:rsidP="00897982">
      <w:pPr>
        <w:pStyle w:val="NormalWeb"/>
        <w:spacing w:before="0" w:beforeAutospacing="0" w:after="240" w:afterAutospacing="0"/>
        <w:rPr>
          <w:rFonts w:ascii="Garamond" w:hAnsi="Garamond"/>
        </w:rPr>
      </w:pPr>
      <w:r w:rsidRPr="00FA14BD">
        <w:rPr>
          <w:rFonts w:ascii="Garamond" w:hAnsi="Garamond"/>
        </w:rPr>
        <w:t>Below we describe implementation of these three phases, including reference to the relevant CSF categories and subcategories, CISA CPGs, and NIST supply chain guidance.</w:t>
      </w:r>
      <w:r>
        <w:rPr>
          <w:rFonts w:ascii="Garamond" w:hAnsi="Garamond"/>
        </w:rPr>
        <w:t xml:space="preserve">  </w:t>
      </w:r>
    </w:p>
    <w:p w14:paraId="31BEFEB0" w14:textId="5C6B55B1" w:rsidR="000E317C" w:rsidRDefault="000E317C" w:rsidP="00897982">
      <w:pPr>
        <w:pStyle w:val="NormalWeb"/>
        <w:spacing w:before="0" w:beforeAutospacing="0" w:after="240" w:afterAutospacing="0"/>
        <w:rPr>
          <w:rFonts w:ascii="Garamond" w:hAnsi="Garamond"/>
        </w:rPr>
      </w:pPr>
      <w:r>
        <w:rPr>
          <w:rFonts w:ascii="Garamond" w:hAnsi="Garamond"/>
        </w:rPr>
        <w:t xml:space="preserve">The Plan is purposely designed for flexibility to account for the dynamic and fluid threat environment.  We </w:t>
      </w:r>
      <w:r w:rsidR="00325FE9">
        <w:rPr>
          <w:rFonts w:ascii="Garamond" w:hAnsi="Garamond"/>
        </w:rPr>
        <w:t xml:space="preserve">regularly </w:t>
      </w:r>
      <w:r>
        <w:rPr>
          <w:rFonts w:ascii="Garamond" w:hAnsi="Garamond"/>
        </w:rPr>
        <w:t xml:space="preserve">monitor implementation effectiveness and adapt Plan </w:t>
      </w:r>
      <w:r w:rsidR="00645D0F">
        <w:rPr>
          <w:rFonts w:ascii="Garamond" w:hAnsi="Garamond"/>
        </w:rPr>
        <w:t>implementation,</w:t>
      </w:r>
      <w:r>
        <w:rPr>
          <w:rFonts w:ascii="Garamond" w:hAnsi="Garamond"/>
        </w:rPr>
        <w:t xml:space="preserve"> as necessary.  Pursuant to </w:t>
      </w:r>
      <w:r w:rsidR="00ED5BF7">
        <w:rPr>
          <w:rFonts w:ascii="Garamond" w:hAnsi="Garamond"/>
        </w:rPr>
        <w:t>FCC rules fo</w:t>
      </w:r>
      <w:r w:rsidR="00ED5BF7" w:rsidRPr="00B6560C">
        <w:rPr>
          <w:rFonts w:ascii="Garamond" w:hAnsi="Garamond"/>
        </w:rPr>
        <w:t xml:space="preserve">r </w:t>
      </w:r>
      <w:r w:rsidR="00B6560C" w:rsidRPr="00B6560C">
        <w:rPr>
          <w:rFonts w:ascii="Garamond" w:hAnsi="Garamond"/>
        </w:rPr>
        <w:t>[</w:t>
      </w:r>
      <w:r w:rsidR="00ED5BF7" w:rsidRPr="00344D86">
        <w:rPr>
          <w:rFonts w:ascii="Garamond" w:hAnsi="Garamond"/>
          <w:color w:val="4472C4" w:themeColor="accent1"/>
        </w:rPr>
        <w:t>Enhanced A-CAM carriers</w:t>
      </w:r>
      <w:r w:rsidR="00B6560C" w:rsidRPr="00B6560C">
        <w:rPr>
          <w:rFonts w:ascii="Garamond" w:hAnsi="Garamond"/>
        </w:rPr>
        <w:t>]</w:t>
      </w:r>
      <w:r w:rsidRPr="00B6560C">
        <w:rPr>
          <w:rFonts w:ascii="Garamond" w:hAnsi="Garamond"/>
        </w:rPr>
        <w:t>,</w:t>
      </w:r>
      <w:r w:rsidRPr="00344D86">
        <w:rPr>
          <w:rFonts w:ascii="Garamond" w:hAnsi="Garamond"/>
          <w:color w:val="4472C4" w:themeColor="accent1"/>
        </w:rPr>
        <w:t xml:space="preserve"> </w:t>
      </w:r>
      <w:r>
        <w:rPr>
          <w:rFonts w:ascii="Garamond" w:hAnsi="Garamond"/>
        </w:rPr>
        <w:t xml:space="preserve">we will file an </w:t>
      </w:r>
      <w:r w:rsidR="006D6318">
        <w:rPr>
          <w:rFonts w:ascii="Garamond" w:hAnsi="Garamond"/>
        </w:rPr>
        <w:t>updated</w:t>
      </w:r>
      <w:r>
        <w:rPr>
          <w:rFonts w:ascii="Garamond" w:hAnsi="Garamond"/>
        </w:rPr>
        <w:t xml:space="preserve"> Plan</w:t>
      </w:r>
      <w:r w:rsidR="006D6318">
        <w:rPr>
          <w:rFonts w:ascii="Garamond" w:hAnsi="Garamond"/>
        </w:rPr>
        <w:t xml:space="preserve"> within 30 days of any </w:t>
      </w:r>
      <w:r>
        <w:rPr>
          <w:rFonts w:ascii="Garamond" w:hAnsi="Garamond"/>
        </w:rPr>
        <w:t xml:space="preserve">substantive </w:t>
      </w:r>
      <w:r w:rsidR="006D6318">
        <w:rPr>
          <w:rFonts w:ascii="Garamond" w:hAnsi="Garamond"/>
        </w:rPr>
        <w:t>modification to the Plan.</w:t>
      </w:r>
    </w:p>
    <w:p w14:paraId="59F8980B" w14:textId="20B0F2F6" w:rsidR="000A2EFB" w:rsidRPr="00FA14BD" w:rsidRDefault="000A2EFB" w:rsidP="00897982">
      <w:pPr>
        <w:pStyle w:val="NormalWeb"/>
        <w:spacing w:before="0" w:beforeAutospacing="0" w:after="240" w:afterAutospacing="0"/>
        <w:rPr>
          <w:rFonts w:ascii="Garamond" w:hAnsi="Garamond"/>
          <w:b/>
          <w:bCs/>
          <w:i/>
          <w:iCs/>
        </w:rPr>
      </w:pPr>
      <w:r w:rsidRPr="00FA14BD">
        <w:rPr>
          <w:rFonts w:ascii="Garamond" w:hAnsi="Garamond"/>
          <w:b/>
          <w:bCs/>
          <w:i/>
          <w:iCs/>
        </w:rPr>
        <w:lastRenderedPageBreak/>
        <w:t>Phase One: Initial and Continuous Planning and Governance Priorities</w:t>
      </w:r>
    </w:p>
    <w:p w14:paraId="06BE71E2" w14:textId="59558FE6" w:rsidR="000E317C" w:rsidRDefault="000E317C" w:rsidP="00897982">
      <w:pPr>
        <w:pStyle w:val="NormalWeb"/>
        <w:spacing w:before="0" w:beforeAutospacing="0" w:after="240" w:afterAutospacing="0"/>
        <w:rPr>
          <w:rFonts w:ascii="Garamond" w:hAnsi="Garamond"/>
        </w:rPr>
      </w:pPr>
      <w:r>
        <w:rPr>
          <w:rFonts w:ascii="Garamond" w:hAnsi="Garamond"/>
        </w:rPr>
        <w:t>The first phase of implementing the plan focuses on asset management, data management, and risk assessment.  This phase is both an initial step and continuous in implementation.</w:t>
      </w:r>
      <w:r w:rsidR="005461F2" w:rsidRPr="00FA14BD">
        <w:rPr>
          <w:rFonts w:ascii="Garamond" w:hAnsi="Garamond"/>
        </w:rPr>
        <w:tab/>
      </w:r>
      <w:r w:rsidR="005461F2" w:rsidRPr="00FA14BD">
        <w:rPr>
          <w:rFonts w:ascii="Garamond" w:hAnsi="Garamond"/>
        </w:rPr>
        <w:tab/>
      </w:r>
    </w:p>
    <w:p w14:paraId="1D306917" w14:textId="487C6DB1" w:rsidR="00F37458" w:rsidRPr="00FA14BD" w:rsidRDefault="005461F2" w:rsidP="00897982">
      <w:pPr>
        <w:pStyle w:val="NormalWeb"/>
        <w:spacing w:before="0" w:beforeAutospacing="0" w:after="240" w:afterAutospacing="0"/>
        <w:rPr>
          <w:rFonts w:ascii="Garamond" w:hAnsi="Garamond"/>
        </w:rPr>
      </w:pPr>
      <w:r w:rsidRPr="000E317C">
        <w:rPr>
          <w:rFonts w:ascii="Garamond" w:hAnsi="Garamond"/>
          <w:u w:val="single"/>
        </w:rPr>
        <w:t>Asset Management</w:t>
      </w:r>
      <w:r w:rsidR="000E317C">
        <w:rPr>
          <w:rFonts w:ascii="Garamond" w:hAnsi="Garamond"/>
        </w:rPr>
        <w:t>.</w:t>
      </w:r>
      <w:r w:rsidR="000E317C">
        <w:rPr>
          <w:rStyle w:val="FootnoteReference"/>
          <w:rFonts w:ascii="Garamond" w:hAnsi="Garamond"/>
        </w:rPr>
        <w:footnoteReference w:id="1"/>
      </w:r>
      <w:r w:rsidR="000E317C">
        <w:rPr>
          <w:rFonts w:ascii="Garamond" w:hAnsi="Garamond"/>
        </w:rPr>
        <w:t xml:space="preserve">   </w:t>
      </w:r>
      <w:r w:rsidR="000D6C12">
        <w:rPr>
          <w:rFonts w:ascii="Garamond" w:hAnsi="Garamond"/>
        </w:rPr>
        <w:t>In</w:t>
      </w:r>
      <w:r w:rsidR="000E317C">
        <w:rPr>
          <w:rFonts w:ascii="Garamond" w:hAnsi="Garamond"/>
        </w:rPr>
        <w:t xml:space="preserve"> [</w:t>
      </w:r>
      <w:r w:rsidR="000D6C12" w:rsidRPr="000D6C12">
        <w:rPr>
          <w:rFonts w:ascii="Garamond" w:hAnsi="Garamond"/>
          <w:color w:val="4472C4" w:themeColor="accent1"/>
        </w:rPr>
        <w:t>month/year</w:t>
      </w:r>
      <w:r w:rsidR="000E317C">
        <w:rPr>
          <w:rFonts w:ascii="Garamond" w:hAnsi="Garamond"/>
        </w:rPr>
        <w:t>] we conducted our initial formal inventory of our hardware, s</w:t>
      </w:r>
      <w:r w:rsidR="00213482" w:rsidRPr="00FA14BD">
        <w:rPr>
          <w:rFonts w:ascii="Garamond" w:hAnsi="Garamond"/>
        </w:rPr>
        <w:t xml:space="preserve">oftware, </w:t>
      </w:r>
      <w:r w:rsidR="000E317C">
        <w:rPr>
          <w:rFonts w:ascii="Garamond" w:hAnsi="Garamond"/>
        </w:rPr>
        <w:t>s</w:t>
      </w:r>
      <w:r w:rsidR="00213482" w:rsidRPr="00FA14BD">
        <w:rPr>
          <w:rFonts w:ascii="Garamond" w:hAnsi="Garamond"/>
        </w:rPr>
        <w:t xml:space="preserve">ervices, and </w:t>
      </w:r>
      <w:r w:rsidR="000E317C">
        <w:rPr>
          <w:rFonts w:ascii="Garamond" w:hAnsi="Garamond"/>
        </w:rPr>
        <w:t>s</w:t>
      </w:r>
      <w:r w:rsidR="00213482" w:rsidRPr="00FA14BD">
        <w:rPr>
          <w:rFonts w:ascii="Garamond" w:hAnsi="Garamond"/>
        </w:rPr>
        <w:t>ystems</w:t>
      </w:r>
      <w:r w:rsidR="000E317C">
        <w:rPr>
          <w:rFonts w:ascii="Garamond" w:hAnsi="Garamond"/>
        </w:rPr>
        <w:t xml:space="preserve">. We update inventories at least monthly for </w:t>
      </w:r>
      <w:r w:rsidR="00F42E6B" w:rsidRPr="00FA14BD">
        <w:rPr>
          <w:rFonts w:ascii="Garamond" w:hAnsi="Garamond"/>
        </w:rPr>
        <w:t>IT and OT</w:t>
      </w:r>
      <w:r w:rsidR="00213482" w:rsidRPr="00FA14BD">
        <w:rPr>
          <w:rFonts w:ascii="Garamond" w:hAnsi="Garamond"/>
        </w:rPr>
        <w:t xml:space="preserve"> </w:t>
      </w:r>
      <w:r w:rsidR="000E317C">
        <w:rPr>
          <w:rFonts w:ascii="Garamond" w:hAnsi="Garamond"/>
        </w:rPr>
        <w:t>a</w:t>
      </w:r>
      <w:r w:rsidR="00C61006" w:rsidRPr="00FA14BD">
        <w:rPr>
          <w:rFonts w:ascii="Garamond" w:hAnsi="Garamond"/>
        </w:rPr>
        <w:t>ssets</w:t>
      </w:r>
      <w:r w:rsidR="000E317C">
        <w:rPr>
          <w:rFonts w:ascii="Garamond" w:hAnsi="Garamond"/>
        </w:rPr>
        <w:t>.  On [</w:t>
      </w:r>
      <w:r w:rsidR="000E317C" w:rsidRPr="000D6C12">
        <w:rPr>
          <w:rFonts w:ascii="Garamond" w:hAnsi="Garamond"/>
          <w:color w:val="4472C4" w:themeColor="accent1"/>
        </w:rPr>
        <w:t>date</w:t>
      </w:r>
      <w:r w:rsidR="000E317C">
        <w:rPr>
          <w:rFonts w:ascii="Garamond" w:hAnsi="Garamond"/>
        </w:rPr>
        <w:t xml:space="preserve">], we </w:t>
      </w:r>
      <w:r w:rsidR="00CD1767">
        <w:rPr>
          <w:rFonts w:ascii="Garamond" w:hAnsi="Garamond"/>
        </w:rPr>
        <w:t xml:space="preserve">formally </w:t>
      </w:r>
      <w:r w:rsidR="000E317C">
        <w:rPr>
          <w:rFonts w:ascii="Garamond" w:hAnsi="Garamond"/>
        </w:rPr>
        <w:t xml:space="preserve">established </w:t>
      </w:r>
      <w:r w:rsidR="00CD1767">
        <w:rPr>
          <w:rFonts w:ascii="Garamond" w:hAnsi="Garamond"/>
        </w:rPr>
        <w:t xml:space="preserve">our asset classification parameters and classified our assets accordingly.  </w:t>
      </w:r>
    </w:p>
    <w:p w14:paraId="0C6AED2C" w14:textId="0CDD36FA" w:rsidR="00E427B8" w:rsidRPr="00FA14BD" w:rsidRDefault="003E0773" w:rsidP="00897982">
      <w:pPr>
        <w:pStyle w:val="NormalWeb"/>
        <w:spacing w:before="0" w:beforeAutospacing="0" w:after="240" w:afterAutospacing="0"/>
        <w:rPr>
          <w:rFonts w:ascii="Garamond" w:hAnsi="Garamond"/>
        </w:rPr>
      </w:pPr>
      <w:r w:rsidRPr="000E317C">
        <w:rPr>
          <w:rFonts w:ascii="Garamond" w:hAnsi="Garamond"/>
          <w:u w:val="single"/>
        </w:rPr>
        <w:t>Data Management</w:t>
      </w:r>
      <w:r w:rsidR="000E317C">
        <w:rPr>
          <w:rFonts w:ascii="Garamond" w:hAnsi="Garamond"/>
        </w:rPr>
        <w:t>.</w:t>
      </w:r>
      <w:r w:rsidR="000E317C">
        <w:rPr>
          <w:rStyle w:val="FootnoteReference"/>
          <w:rFonts w:ascii="Garamond" w:hAnsi="Garamond"/>
        </w:rPr>
        <w:footnoteReference w:id="2"/>
      </w:r>
      <w:r w:rsidR="00CD1767">
        <w:rPr>
          <w:rFonts w:ascii="Garamond" w:hAnsi="Garamond"/>
        </w:rPr>
        <w:t xml:space="preserve">  On [</w:t>
      </w:r>
      <w:r w:rsidR="00CD1767" w:rsidRPr="000D6C12">
        <w:rPr>
          <w:rFonts w:ascii="Garamond" w:hAnsi="Garamond"/>
          <w:color w:val="4472C4" w:themeColor="accent1"/>
        </w:rPr>
        <w:t>date</w:t>
      </w:r>
      <w:r w:rsidR="00CD1767">
        <w:rPr>
          <w:rFonts w:ascii="Garamond" w:hAnsi="Garamond"/>
        </w:rPr>
        <w:t>], we formally established our data classification parameters and classified our data accordingly.  We map internal and external data flows according to this classification.</w:t>
      </w:r>
    </w:p>
    <w:p w14:paraId="1269675F" w14:textId="067495DF" w:rsidR="0073776A" w:rsidRDefault="00D77487" w:rsidP="00897982">
      <w:pPr>
        <w:pStyle w:val="NormalWeb"/>
        <w:spacing w:before="0" w:beforeAutospacing="0" w:after="240" w:afterAutospacing="0"/>
        <w:rPr>
          <w:rFonts w:ascii="Garamond" w:hAnsi="Garamond"/>
        </w:rPr>
      </w:pPr>
      <w:r w:rsidRPr="000E317C">
        <w:rPr>
          <w:rFonts w:ascii="Garamond" w:hAnsi="Garamond"/>
          <w:u w:val="single"/>
        </w:rPr>
        <w:t>Risk Assessment</w:t>
      </w:r>
      <w:r w:rsidR="0073776A">
        <w:rPr>
          <w:rFonts w:ascii="Garamond" w:hAnsi="Garamond"/>
          <w:u w:val="single"/>
        </w:rPr>
        <w:t xml:space="preserve"> and Management</w:t>
      </w:r>
      <w:r w:rsidR="000E317C">
        <w:rPr>
          <w:rFonts w:ascii="Garamond" w:hAnsi="Garamond"/>
        </w:rPr>
        <w:t>.</w:t>
      </w:r>
      <w:r w:rsidR="000E317C">
        <w:rPr>
          <w:rStyle w:val="FootnoteReference"/>
          <w:rFonts w:ascii="Garamond" w:hAnsi="Garamond"/>
        </w:rPr>
        <w:footnoteReference w:id="3"/>
      </w:r>
      <w:r w:rsidR="009448AB">
        <w:rPr>
          <w:rFonts w:ascii="Garamond" w:hAnsi="Garamond"/>
        </w:rPr>
        <w:t xml:space="preserve"> </w:t>
      </w:r>
      <w:r w:rsidR="00815389">
        <w:rPr>
          <w:rFonts w:ascii="Garamond" w:hAnsi="Garamond"/>
        </w:rPr>
        <w:t xml:space="preserve"> </w:t>
      </w:r>
      <w:r w:rsidR="0073776A">
        <w:rPr>
          <w:rFonts w:ascii="Garamond" w:hAnsi="Garamond"/>
        </w:rPr>
        <w:t>Our basic approach to risk assessment and management focuses on threats, vulnerabilities, and risk evaluation, along with a particular focus on supply chain risk management:</w:t>
      </w:r>
    </w:p>
    <w:p w14:paraId="25174A01" w14:textId="3C24B6A9" w:rsidR="0033665B" w:rsidRDefault="0073776A" w:rsidP="00897982">
      <w:pPr>
        <w:pStyle w:val="NormalWeb"/>
        <w:numPr>
          <w:ilvl w:val="0"/>
          <w:numId w:val="7"/>
        </w:numPr>
        <w:spacing w:before="0" w:beforeAutospacing="0" w:after="240" w:afterAutospacing="0"/>
        <w:rPr>
          <w:rFonts w:ascii="Garamond" w:hAnsi="Garamond"/>
        </w:rPr>
      </w:pPr>
      <w:r w:rsidRPr="0073776A">
        <w:rPr>
          <w:rFonts w:ascii="Garamond" w:hAnsi="Garamond"/>
          <w:i/>
          <w:iCs/>
        </w:rPr>
        <w:t>Threats</w:t>
      </w:r>
      <w:r>
        <w:rPr>
          <w:rFonts w:ascii="Garamond" w:hAnsi="Garamond"/>
        </w:rPr>
        <w:t xml:space="preserve">. </w:t>
      </w:r>
      <w:r w:rsidR="009448AB">
        <w:rPr>
          <w:rFonts w:ascii="Garamond" w:hAnsi="Garamond"/>
        </w:rPr>
        <w:t>We have formally identified and prioritized internal and external threats to the organization.  We co</w:t>
      </w:r>
      <w:r>
        <w:rPr>
          <w:rFonts w:ascii="Garamond" w:hAnsi="Garamond"/>
        </w:rPr>
        <w:t>nstantly evaluate and re-evaluate threat intelligence fro</w:t>
      </w:r>
      <w:r w:rsidRPr="00B6560C">
        <w:rPr>
          <w:rFonts w:ascii="Garamond" w:hAnsi="Garamond"/>
        </w:rPr>
        <w:t xml:space="preserve">m </w:t>
      </w:r>
      <w:r w:rsidR="00B6560C" w:rsidRPr="00B6560C">
        <w:rPr>
          <w:rFonts w:ascii="Garamond" w:hAnsi="Garamond"/>
        </w:rPr>
        <w:t>[</w:t>
      </w:r>
      <w:r w:rsidRPr="00344D86">
        <w:rPr>
          <w:rFonts w:ascii="Garamond" w:hAnsi="Garamond"/>
          <w:color w:val="4472C4" w:themeColor="accent1"/>
        </w:rPr>
        <w:t>CyberShare</w:t>
      </w:r>
      <w:r w:rsidR="00B6560C">
        <w:rPr>
          <w:rFonts w:ascii="Garamond" w:hAnsi="Garamond"/>
          <w:color w:val="4472C4" w:themeColor="accent1"/>
        </w:rPr>
        <w:t>:  The Small Broadband Provider ISAC</w:t>
      </w:r>
      <w:r w:rsidRPr="00344D86">
        <w:rPr>
          <w:rFonts w:ascii="Garamond" w:hAnsi="Garamond"/>
          <w:color w:val="4472C4" w:themeColor="accent1"/>
        </w:rPr>
        <w:t xml:space="preserve"> and other resources</w:t>
      </w:r>
      <w:r w:rsidR="00B6560C" w:rsidRPr="00B6560C">
        <w:rPr>
          <w:rFonts w:ascii="Garamond" w:hAnsi="Garamond"/>
        </w:rPr>
        <w:t>]</w:t>
      </w:r>
      <w:r w:rsidRPr="00B6560C">
        <w:rPr>
          <w:rFonts w:ascii="Garamond" w:hAnsi="Garamond"/>
        </w:rPr>
        <w:t>.</w:t>
      </w:r>
    </w:p>
    <w:p w14:paraId="69973536" w14:textId="73E75A67" w:rsidR="0073776A" w:rsidRDefault="0073776A" w:rsidP="00897982">
      <w:pPr>
        <w:pStyle w:val="NormalWeb"/>
        <w:numPr>
          <w:ilvl w:val="0"/>
          <w:numId w:val="7"/>
        </w:numPr>
        <w:spacing w:before="0" w:beforeAutospacing="0" w:after="240" w:afterAutospacing="0"/>
        <w:rPr>
          <w:rFonts w:ascii="Garamond" w:hAnsi="Garamond"/>
        </w:rPr>
      </w:pPr>
      <w:r w:rsidRPr="0073776A">
        <w:rPr>
          <w:rFonts w:ascii="Garamond" w:hAnsi="Garamond"/>
          <w:i/>
          <w:iCs/>
        </w:rPr>
        <w:t>Vulnerabilities</w:t>
      </w:r>
      <w:r>
        <w:rPr>
          <w:rFonts w:ascii="Garamond" w:hAnsi="Garamond"/>
        </w:rPr>
        <w:t>.</w:t>
      </w:r>
      <w:r w:rsidRPr="0073776A">
        <w:rPr>
          <w:rFonts w:ascii="Garamond" w:hAnsi="Garamond"/>
        </w:rPr>
        <w:t xml:space="preserve"> </w:t>
      </w:r>
      <w:r>
        <w:rPr>
          <w:rFonts w:ascii="Garamond" w:hAnsi="Garamond"/>
        </w:rPr>
        <w:t xml:space="preserve">We constantly seek to determine and address known vulnerabilities in our systems, including through checking </w:t>
      </w:r>
      <w:r w:rsidRPr="00FA14BD">
        <w:rPr>
          <w:rFonts w:ascii="Garamond" w:hAnsi="Garamond"/>
        </w:rPr>
        <w:t>CISA’s Known Exploited Vulnerability Catalog</w:t>
      </w:r>
      <w:r>
        <w:rPr>
          <w:rFonts w:ascii="Garamond" w:hAnsi="Garamond"/>
        </w:rPr>
        <w:t>.  We ensure that all known vulnerabilities are patched or otherwise mitigated.  On [</w:t>
      </w:r>
      <w:r w:rsidRPr="00344D86">
        <w:rPr>
          <w:rFonts w:ascii="Garamond" w:hAnsi="Garamond"/>
          <w:color w:val="4472C4" w:themeColor="accent1"/>
        </w:rPr>
        <w:t>date</w:t>
      </w:r>
      <w:r>
        <w:rPr>
          <w:rFonts w:ascii="Garamond" w:hAnsi="Garamond"/>
        </w:rPr>
        <w:t xml:space="preserve">], we formally established our patch management policy. </w:t>
      </w:r>
    </w:p>
    <w:p w14:paraId="70EC0164" w14:textId="7E1C8059" w:rsidR="0073776A" w:rsidRPr="00FA14BD" w:rsidRDefault="0073776A" w:rsidP="00897982">
      <w:pPr>
        <w:pStyle w:val="NormalWeb"/>
        <w:numPr>
          <w:ilvl w:val="0"/>
          <w:numId w:val="7"/>
        </w:numPr>
        <w:spacing w:before="0" w:beforeAutospacing="0" w:after="240" w:afterAutospacing="0"/>
        <w:rPr>
          <w:rFonts w:ascii="Garamond" w:hAnsi="Garamond"/>
        </w:rPr>
      </w:pPr>
      <w:r w:rsidRPr="0073776A">
        <w:rPr>
          <w:rFonts w:ascii="Garamond" w:hAnsi="Garamond"/>
          <w:i/>
          <w:iCs/>
        </w:rPr>
        <w:t>Risk Evaluation</w:t>
      </w:r>
      <w:r>
        <w:rPr>
          <w:rFonts w:ascii="Garamond" w:hAnsi="Garamond"/>
        </w:rPr>
        <w:t xml:space="preserve">. </w:t>
      </w:r>
      <w:r w:rsidR="006F754F">
        <w:rPr>
          <w:rFonts w:ascii="Garamond" w:hAnsi="Garamond"/>
        </w:rPr>
        <w:t xml:space="preserve"> We seek to assess, score, and prioritize risks for purposes of Board and Executive risk management.  As noted above, [</w:t>
      </w:r>
      <w:r w:rsidR="000D6C12" w:rsidRPr="000D6C12">
        <w:rPr>
          <w:rFonts w:ascii="Garamond" w:hAnsi="Garamond"/>
          <w:color w:val="4472C4" w:themeColor="accent1"/>
        </w:rPr>
        <w:t xml:space="preserve">the </w:t>
      </w:r>
      <w:r w:rsidR="006F754F" w:rsidRPr="000D6C12">
        <w:rPr>
          <w:rFonts w:ascii="Garamond" w:hAnsi="Garamond"/>
          <w:color w:val="4472C4" w:themeColor="accent1"/>
        </w:rPr>
        <w:t>Board and/or Executive Officer</w:t>
      </w:r>
      <w:r w:rsidR="006F754F">
        <w:rPr>
          <w:rFonts w:ascii="Garamond" w:hAnsi="Garamond"/>
        </w:rPr>
        <w:t xml:space="preserve">] have approved the Plan, including the risk management strategies contained within it. Pursuant to their direction, we have a timeline and process for re-evaluation.    </w:t>
      </w:r>
    </w:p>
    <w:p w14:paraId="42429BCB" w14:textId="066B3DB7" w:rsidR="0073776A" w:rsidRPr="00FA14BD" w:rsidRDefault="0073776A" w:rsidP="00897982">
      <w:pPr>
        <w:pStyle w:val="NormalWeb"/>
        <w:numPr>
          <w:ilvl w:val="0"/>
          <w:numId w:val="7"/>
        </w:numPr>
        <w:spacing w:before="0" w:beforeAutospacing="0" w:after="240" w:afterAutospacing="0"/>
        <w:rPr>
          <w:rFonts w:ascii="Garamond" w:hAnsi="Garamond"/>
        </w:rPr>
      </w:pPr>
      <w:r w:rsidRPr="0073776A">
        <w:rPr>
          <w:rFonts w:ascii="Garamond" w:hAnsi="Garamond"/>
          <w:i/>
          <w:iCs/>
        </w:rPr>
        <w:t>Supply Chain</w:t>
      </w:r>
      <w:r>
        <w:rPr>
          <w:rFonts w:ascii="Garamond" w:hAnsi="Garamond"/>
        </w:rPr>
        <w:t>.</w:t>
      </w:r>
      <w:r w:rsidR="00894DBE">
        <w:rPr>
          <w:rStyle w:val="FootnoteReference"/>
          <w:rFonts w:ascii="Garamond" w:hAnsi="Garamond"/>
        </w:rPr>
        <w:footnoteReference w:id="4"/>
      </w:r>
      <w:r>
        <w:rPr>
          <w:rFonts w:ascii="Garamond" w:hAnsi="Garamond"/>
        </w:rPr>
        <w:t xml:space="preserve">  </w:t>
      </w:r>
      <w:r w:rsidR="006F754F">
        <w:rPr>
          <w:rFonts w:ascii="Garamond" w:hAnsi="Garamond"/>
        </w:rPr>
        <w:t xml:space="preserve">We have developed a formal </w:t>
      </w:r>
      <w:r w:rsidRPr="00FA14BD">
        <w:rPr>
          <w:rFonts w:ascii="Garamond" w:hAnsi="Garamond"/>
        </w:rPr>
        <w:t>Supply Chain Risk Management Policy</w:t>
      </w:r>
      <w:r w:rsidR="006F754F">
        <w:rPr>
          <w:rFonts w:ascii="Garamond" w:hAnsi="Garamond"/>
        </w:rPr>
        <w:t xml:space="preserve"> that incorporates the </w:t>
      </w:r>
      <w:r w:rsidR="000D6C12">
        <w:rPr>
          <w:rFonts w:ascii="Garamond" w:hAnsi="Garamond"/>
        </w:rPr>
        <w:t>Key Practices</w:t>
      </w:r>
      <w:r w:rsidR="006F754F">
        <w:rPr>
          <w:rFonts w:ascii="Garamond" w:hAnsi="Garamond"/>
        </w:rPr>
        <w:t xml:space="preserve"> of NISTIR 8276 and </w:t>
      </w:r>
      <w:r w:rsidR="000D6C12">
        <w:rPr>
          <w:rFonts w:ascii="Garamond" w:hAnsi="Garamond"/>
        </w:rPr>
        <w:t xml:space="preserve">related guidance in NIST </w:t>
      </w:r>
      <w:r w:rsidR="006F754F">
        <w:rPr>
          <w:rFonts w:ascii="Garamond" w:hAnsi="Garamond"/>
        </w:rPr>
        <w:t>SP 800-161</w:t>
      </w:r>
      <w:r>
        <w:rPr>
          <w:rFonts w:ascii="Garamond" w:hAnsi="Garamond"/>
        </w:rPr>
        <w:t xml:space="preserve">. </w:t>
      </w:r>
      <w:r w:rsidR="006F754F">
        <w:rPr>
          <w:rFonts w:ascii="Garamond" w:hAnsi="Garamond"/>
        </w:rPr>
        <w:t>We p</w:t>
      </w:r>
      <w:r w:rsidRPr="00FA14BD">
        <w:rPr>
          <w:rFonts w:ascii="Garamond" w:hAnsi="Garamond"/>
        </w:rPr>
        <w:t xml:space="preserve">rioritize </w:t>
      </w:r>
      <w:r w:rsidR="006F754F">
        <w:rPr>
          <w:rFonts w:ascii="Garamond" w:hAnsi="Garamond"/>
        </w:rPr>
        <w:t>our s</w:t>
      </w:r>
      <w:r w:rsidRPr="00FA14BD">
        <w:rPr>
          <w:rFonts w:ascii="Garamond" w:hAnsi="Garamond"/>
        </w:rPr>
        <w:t xml:space="preserve">uppliers by </w:t>
      </w:r>
      <w:r w:rsidR="00E465D7">
        <w:rPr>
          <w:rFonts w:ascii="Garamond" w:hAnsi="Garamond"/>
        </w:rPr>
        <w:t>c</w:t>
      </w:r>
      <w:r w:rsidR="00E465D7" w:rsidRPr="00FA14BD">
        <w:rPr>
          <w:rFonts w:ascii="Garamond" w:hAnsi="Garamond"/>
        </w:rPr>
        <w:t>riticality,</w:t>
      </w:r>
      <w:r w:rsidR="006F754F">
        <w:rPr>
          <w:rFonts w:ascii="Garamond" w:hAnsi="Garamond"/>
        </w:rPr>
        <w:t xml:space="preserve"> and we have a risk-informed “allow list.”  We p</w:t>
      </w:r>
      <w:r w:rsidRPr="00FA14BD">
        <w:rPr>
          <w:rFonts w:ascii="Garamond" w:hAnsi="Garamond"/>
        </w:rPr>
        <w:t>re-</w:t>
      </w:r>
      <w:r w:rsidR="006F754F">
        <w:rPr>
          <w:rFonts w:ascii="Garamond" w:hAnsi="Garamond"/>
        </w:rPr>
        <w:t>a</w:t>
      </w:r>
      <w:r w:rsidRPr="00FA14BD">
        <w:rPr>
          <w:rFonts w:ascii="Garamond" w:hAnsi="Garamond"/>
        </w:rPr>
        <w:t xml:space="preserve">ssess </w:t>
      </w:r>
      <w:proofErr w:type="gramStart"/>
      <w:r w:rsidR="006F754F">
        <w:rPr>
          <w:rFonts w:ascii="Garamond" w:hAnsi="Garamond"/>
        </w:rPr>
        <w:t>all of</w:t>
      </w:r>
      <w:proofErr w:type="gramEnd"/>
      <w:r w:rsidR="006F754F">
        <w:rPr>
          <w:rFonts w:ascii="Garamond" w:hAnsi="Garamond"/>
        </w:rPr>
        <w:t xml:space="preserve"> our s</w:t>
      </w:r>
      <w:r w:rsidRPr="00FA14BD">
        <w:rPr>
          <w:rFonts w:ascii="Garamond" w:hAnsi="Garamond"/>
        </w:rPr>
        <w:t>uppliers</w:t>
      </w:r>
      <w:r w:rsidR="006F754F">
        <w:rPr>
          <w:rFonts w:ascii="Garamond" w:hAnsi="Garamond"/>
        </w:rPr>
        <w:t xml:space="preserve"> and address identified risks through </w:t>
      </w:r>
      <w:r w:rsidRPr="00FA14BD">
        <w:rPr>
          <w:rFonts w:ascii="Garamond" w:hAnsi="Garamond"/>
        </w:rPr>
        <w:t>Service-Level Agreements</w:t>
      </w:r>
      <w:r>
        <w:rPr>
          <w:rFonts w:ascii="Garamond" w:hAnsi="Garamond"/>
        </w:rPr>
        <w:t xml:space="preserve">. </w:t>
      </w:r>
      <w:r w:rsidR="006F754F">
        <w:rPr>
          <w:rFonts w:ascii="Garamond" w:hAnsi="Garamond"/>
        </w:rPr>
        <w:t xml:space="preserve">We </w:t>
      </w:r>
      <w:r w:rsidR="006F754F">
        <w:rPr>
          <w:rFonts w:ascii="Garamond" w:hAnsi="Garamond"/>
        </w:rPr>
        <w:lastRenderedPageBreak/>
        <w:t>r</w:t>
      </w:r>
      <w:r w:rsidRPr="00FA14BD">
        <w:rPr>
          <w:rFonts w:ascii="Garamond" w:hAnsi="Garamond"/>
        </w:rPr>
        <w:t xml:space="preserve">equire </w:t>
      </w:r>
      <w:r w:rsidR="006F754F">
        <w:rPr>
          <w:rFonts w:ascii="Garamond" w:hAnsi="Garamond"/>
        </w:rPr>
        <w:t>n</w:t>
      </w:r>
      <w:r w:rsidRPr="00FA14BD">
        <w:rPr>
          <w:rFonts w:ascii="Garamond" w:hAnsi="Garamond"/>
        </w:rPr>
        <w:t xml:space="preserve">otice of </w:t>
      </w:r>
      <w:r w:rsidR="006F754F">
        <w:rPr>
          <w:rFonts w:ascii="Garamond" w:hAnsi="Garamond"/>
        </w:rPr>
        <w:t>c</w:t>
      </w:r>
      <w:r w:rsidRPr="00FA14BD">
        <w:rPr>
          <w:rFonts w:ascii="Garamond" w:hAnsi="Garamond"/>
        </w:rPr>
        <w:t xml:space="preserve">ybersecurity </w:t>
      </w:r>
      <w:r w:rsidR="006F754F">
        <w:rPr>
          <w:rFonts w:ascii="Garamond" w:hAnsi="Garamond"/>
        </w:rPr>
        <w:t>i</w:t>
      </w:r>
      <w:r w:rsidRPr="00FA14BD">
        <w:rPr>
          <w:rFonts w:ascii="Garamond" w:hAnsi="Garamond"/>
        </w:rPr>
        <w:t>ncidents</w:t>
      </w:r>
      <w:r w:rsidR="006F754F">
        <w:rPr>
          <w:rFonts w:ascii="Garamond" w:hAnsi="Garamond"/>
        </w:rPr>
        <w:t xml:space="preserve"> affecting our suppliers, and we r</w:t>
      </w:r>
      <w:r w:rsidRPr="00FA14BD">
        <w:rPr>
          <w:rFonts w:ascii="Garamond" w:hAnsi="Garamond"/>
        </w:rPr>
        <w:t xml:space="preserve">equire </w:t>
      </w:r>
      <w:r w:rsidR="006F754F">
        <w:rPr>
          <w:rFonts w:ascii="Garamond" w:hAnsi="Garamond"/>
        </w:rPr>
        <w:t>i</w:t>
      </w:r>
      <w:r w:rsidRPr="00FA14BD">
        <w:rPr>
          <w:rFonts w:ascii="Garamond" w:hAnsi="Garamond"/>
        </w:rPr>
        <w:t xml:space="preserve">dentification of </w:t>
      </w:r>
      <w:r w:rsidR="006F754F">
        <w:rPr>
          <w:rFonts w:ascii="Garamond" w:hAnsi="Garamond"/>
        </w:rPr>
        <w:t>k</w:t>
      </w:r>
      <w:r w:rsidRPr="00FA14BD">
        <w:rPr>
          <w:rFonts w:ascii="Garamond" w:hAnsi="Garamond"/>
        </w:rPr>
        <w:t xml:space="preserve">nown </w:t>
      </w:r>
      <w:r w:rsidR="006F754F">
        <w:rPr>
          <w:rFonts w:ascii="Garamond" w:hAnsi="Garamond"/>
        </w:rPr>
        <w:t>v</w:t>
      </w:r>
      <w:r w:rsidRPr="00FA14BD">
        <w:rPr>
          <w:rFonts w:ascii="Garamond" w:hAnsi="Garamond"/>
        </w:rPr>
        <w:t>ulnerabilities</w:t>
      </w:r>
      <w:r w:rsidR="00325FE9">
        <w:rPr>
          <w:rFonts w:ascii="Garamond" w:hAnsi="Garamond"/>
        </w:rPr>
        <w:t xml:space="preserve"> by </w:t>
      </w:r>
      <w:r w:rsidR="00B22B04">
        <w:rPr>
          <w:rFonts w:ascii="Garamond" w:hAnsi="Garamond"/>
        </w:rPr>
        <w:t>our suppliers</w:t>
      </w:r>
      <w:r>
        <w:rPr>
          <w:rFonts w:ascii="Garamond" w:hAnsi="Garamond"/>
        </w:rPr>
        <w:t xml:space="preserve">. </w:t>
      </w:r>
      <w:r w:rsidR="006F754F">
        <w:rPr>
          <w:rFonts w:ascii="Garamond" w:hAnsi="Garamond"/>
        </w:rPr>
        <w:t xml:space="preserve">We regularly </w:t>
      </w:r>
      <w:r w:rsidR="00E465D7">
        <w:rPr>
          <w:rFonts w:ascii="Garamond" w:hAnsi="Garamond"/>
        </w:rPr>
        <w:t>r</w:t>
      </w:r>
      <w:r w:rsidR="00E465D7" w:rsidRPr="00FA14BD">
        <w:rPr>
          <w:rFonts w:ascii="Garamond" w:hAnsi="Garamond"/>
        </w:rPr>
        <w:t>eassess</w:t>
      </w:r>
      <w:r w:rsidRPr="00FA14BD">
        <w:rPr>
          <w:rFonts w:ascii="Garamond" w:hAnsi="Garamond"/>
        </w:rPr>
        <w:t xml:space="preserve"> </w:t>
      </w:r>
      <w:r w:rsidR="006F754F">
        <w:rPr>
          <w:rFonts w:ascii="Garamond" w:hAnsi="Garamond"/>
        </w:rPr>
        <w:t>all s</w:t>
      </w:r>
      <w:r w:rsidRPr="00FA14BD">
        <w:rPr>
          <w:rFonts w:ascii="Garamond" w:hAnsi="Garamond"/>
        </w:rPr>
        <w:t>uppliers</w:t>
      </w:r>
      <w:r w:rsidR="006F754F">
        <w:rPr>
          <w:rFonts w:ascii="Garamond" w:hAnsi="Garamond"/>
        </w:rPr>
        <w:t>.</w:t>
      </w:r>
    </w:p>
    <w:p w14:paraId="4AEEF693" w14:textId="77777777" w:rsidR="00897982" w:rsidRPr="006F754F" w:rsidRDefault="00897982" w:rsidP="00897982">
      <w:pPr>
        <w:pStyle w:val="NormalWeb"/>
        <w:spacing w:before="0" w:beforeAutospacing="0" w:after="240" w:afterAutospacing="0"/>
        <w:rPr>
          <w:rFonts w:ascii="Garamond" w:hAnsi="Garamond"/>
          <w:b/>
          <w:bCs/>
          <w:i/>
          <w:iCs/>
        </w:rPr>
      </w:pPr>
      <w:r w:rsidRPr="006F754F">
        <w:rPr>
          <w:rFonts w:ascii="Garamond" w:hAnsi="Garamond"/>
          <w:b/>
          <w:bCs/>
          <w:i/>
          <w:iCs/>
        </w:rPr>
        <w:t>Phase Two: Primary Operational Priorities</w:t>
      </w:r>
    </w:p>
    <w:p w14:paraId="0A9A7E66" w14:textId="77777777" w:rsidR="009D6B97" w:rsidRDefault="00897982" w:rsidP="00897982">
      <w:pPr>
        <w:pStyle w:val="NormalWeb"/>
        <w:spacing w:before="0" w:beforeAutospacing="0" w:after="240" w:afterAutospacing="0"/>
        <w:rPr>
          <w:rFonts w:ascii="Garamond" w:hAnsi="Garamond"/>
        </w:rPr>
      </w:pPr>
      <w:r>
        <w:rPr>
          <w:rFonts w:ascii="Garamond" w:hAnsi="Garamond"/>
        </w:rPr>
        <w:t>The second phase of our Plan pertains to ongoing operational priorities, including network segmentation, identity and access management, data protection, activity logging, device usage, change management, training, and incident response</w:t>
      </w:r>
      <w:r w:rsidR="009D6B97">
        <w:rPr>
          <w:rFonts w:ascii="Garamond" w:hAnsi="Garamond"/>
        </w:rPr>
        <w:t xml:space="preserve">. </w:t>
      </w:r>
    </w:p>
    <w:p w14:paraId="6D769570" w14:textId="10FB0FD1" w:rsidR="00897982" w:rsidRPr="00FA14BD" w:rsidRDefault="00897982" w:rsidP="00897982">
      <w:pPr>
        <w:pStyle w:val="NormalWeb"/>
        <w:spacing w:before="0" w:beforeAutospacing="0" w:after="240" w:afterAutospacing="0"/>
        <w:rPr>
          <w:rFonts w:ascii="Garamond" w:hAnsi="Garamond"/>
        </w:rPr>
      </w:pPr>
      <w:r w:rsidRPr="0034761B">
        <w:rPr>
          <w:rFonts w:ascii="Garamond" w:hAnsi="Garamond"/>
          <w:u w:val="single"/>
        </w:rPr>
        <w:t>Network Segmentation</w:t>
      </w:r>
      <w:r>
        <w:rPr>
          <w:rFonts w:ascii="Garamond" w:hAnsi="Garamond"/>
        </w:rPr>
        <w:t>.</w:t>
      </w:r>
      <w:r>
        <w:rPr>
          <w:rStyle w:val="FootnoteReference"/>
          <w:rFonts w:ascii="Garamond" w:hAnsi="Garamond"/>
        </w:rPr>
        <w:footnoteReference w:id="5"/>
      </w:r>
      <w:r>
        <w:rPr>
          <w:rFonts w:ascii="Garamond" w:hAnsi="Garamond"/>
        </w:rPr>
        <w:t xml:space="preserve">  Our policy for network segmentation prioritizes resources to secure IT/OT interfaces.  </w:t>
      </w:r>
      <w:r w:rsidR="002E25C4">
        <w:rPr>
          <w:rFonts w:ascii="Garamond" w:hAnsi="Garamond"/>
        </w:rPr>
        <w:t>Necessary connections between OT and IT networks are protected via [</w:t>
      </w:r>
      <w:r w:rsidR="002E25C4" w:rsidRPr="009E465C">
        <w:rPr>
          <w:rFonts w:ascii="Garamond" w:hAnsi="Garamond"/>
          <w:color w:val="4472C4" w:themeColor="accent1"/>
        </w:rPr>
        <w:t xml:space="preserve">describe high-level </w:t>
      </w:r>
      <w:r w:rsidR="002E25C4">
        <w:rPr>
          <w:rFonts w:ascii="Garamond" w:hAnsi="Garamond"/>
          <w:color w:val="4472C4" w:themeColor="accent1"/>
        </w:rPr>
        <w:t>configuration</w:t>
      </w:r>
      <w:r w:rsidR="002E25C4">
        <w:rPr>
          <w:rFonts w:ascii="Garamond" w:hAnsi="Garamond"/>
        </w:rPr>
        <w:t>].  N</w:t>
      </w:r>
      <w:r>
        <w:rPr>
          <w:rFonts w:ascii="Garamond" w:hAnsi="Garamond"/>
        </w:rPr>
        <w:t xml:space="preserve">o OT assets are exposed to the internet unless it is necessary for operations, and in those </w:t>
      </w:r>
      <w:r w:rsidR="00182351">
        <w:rPr>
          <w:rFonts w:ascii="Garamond" w:hAnsi="Garamond"/>
        </w:rPr>
        <w:t>cases,</w:t>
      </w:r>
      <w:r>
        <w:rPr>
          <w:rFonts w:ascii="Garamond" w:hAnsi="Garamond"/>
        </w:rPr>
        <w:t xml:space="preserve"> we employ exceptional additional protections.</w:t>
      </w:r>
      <w:r w:rsidR="007C4B1C">
        <w:rPr>
          <w:rFonts w:ascii="Garamond" w:hAnsi="Garamond"/>
        </w:rPr>
        <w:t xml:space="preserve"> </w:t>
      </w:r>
      <w:r w:rsidR="002E7697">
        <w:rPr>
          <w:rFonts w:ascii="Garamond" w:hAnsi="Garamond"/>
        </w:rPr>
        <w:t xml:space="preserve"> </w:t>
      </w:r>
      <w:r w:rsidR="007C4B1C">
        <w:rPr>
          <w:rFonts w:ascii="Garamond" w:hAnsi="Garamond"/>
        </w:rPr>
        <w:t>Likewise, we limit the exposure of services, such as remote desktop protocol, to the public internet</w:t>
      </w:r>
      <w:r w:rsidR="00A44480">
        <w:rPr>
          <w:rFonts w:ascii="Garamond" w:hAnsi="Garamond"/>
        </w:rPr>
        <w:t>, and have put in place compensating controls for those services which are exposed</w:t>
      </w:r>
      <w:r w:rsidR="007C4B1C">
        <w:rPr>
          <w:rFonts w:ascii="Garamond" w:hAnsi="Garamond"/>
        </w:rPr>
        <w:t xml:space="preserve">.   </w:t>
      </w:r>
      <w:r w:rsidRPr="00FA14BD">
        <w:rPr>
          <w:rFonts w:ascii="Garamond" w:hAnsi="Garamond"/>
        </w:rPr>
        <w:t xml:space="preserve"> </w:t>
      </w:r>
    </w:p>
    <w:p w14:paraId="794FD55B" w14:textId="48D1BB67" w:rsidR="00897982" w:rsidRPr="00FA14BD" w:rsidRDefault="00897982" w:rsidP="00897982">
      <w:pPr>
        <w:pStyle w:val="NormalWeb"/>
        <w:spacing w:before="0" w:beforeAutospacing="0" w:after="240" w:afterAutospacing="0"/>
        <w:rPr>
          <w:rFonts w:ascii="Garamond" w:hAnsi="Garamond"/>
        </w:rPr>
      </w:pPr>
      <w:r w:rsidRPr="0034761B">
        <w:rPr>
          <w:rFonts w:ascii="Garamond" w:hAnsi="Garamond"/>
          <w:u w:val="single"/>
        </w:rPr>
        <w:t>Identity and Access Management</w:t>
      </w:r>
      <w:r>
        <w:rPr>
          <w:rFonts w:ascii="Garamond" w:hAnsi="Garamond"/>
        </w:rPr>
        <w:t>.</w:t>
      </w:r>
      <w:r>
        <w:rPr>
          <w:rStyle w:val="FootnoteReference"/>
          <w:rFonts w:ascii="Garamond" w:hAnsi="Garamond"/>
        </w:rPr>
        <w:footnoteReference w:id="6"/>
      </w:r>
      <w:r>
        <w:rPr>
          <w:rFonts w:ascii="Garamond" w:hAnsi="Garamond"/>
        </w:rPr>
        <w:t xml:space="preserve">  Our policies for identity </w:t>
      </w:r>
      <w:r w:rsidR="001B0926">
        <w:rPr>
          <w:rFonts w:ascii="Garamond" w:hAnsi="Garamond"/>
        </w:rPr>
        <w:t>and access</w:t>
      </w:r>
      <w:r>
        <w:rPr>
          <w:rFonts w:ascii="Garamond" w:hAnsi="Garamond"/>
        </w:rPr>
        <w:t xml:space="preserve"> management include password rules that require password length of </w:t>
      </w:r>
      <w:r w:rsidR="00C51DC5">
        <w:rPr>
          <w:rFonts w:ascii="Garamond" w:hAnsi="Garamond"/>
        </w:rPr>
        <w:t>[</w:t>
      </w:r>
      <w:r w:rsidR="00A853AB">
        <w:rPr>
          <w:rFonts w:ascii="Garamond" w:hAnsi="Garamond"/>
          <w:color w:val="4472C4" w:themeColor="accent1"/>
        </w:rPr>
        <w:t>insert</w:t>
      </w:r>
      <w:r w:rsidR="00C51DC5">
        <w:rPr>
          <w:rFonts w:ascii="Garamond" w:hAnsi="Garamond"/>
        </w:rPr>
        <w:t>]</w:t>
      </w:r>
      <w:r>
        <w:rPr>
          <w:rFonts w:ascii="Garamond" w:hAnsi="Garamond"/>
        </w:rPr>
        <w:t xml:space="preserve"> characters, as well as regular password changes.  We also employ account lockout policies that [</w:t>
      </w:r>
      <w:r w:rsidRPr="009E465C">
        <w:rPr>
          <w:rFonts w:ascii="Garamond" w:hAnsi="Garamond"/>
          <w:color w:val="4472C4" w:themeColor="accent1"/>
        </w:rPr>
        <w:t>describe high-level attributes</w:t>
      </w:r>
      <w:r>
        <w:rPr>
          <w:rFonts w:ascii="Garamond" w:hAnsi="Garamond"/>
        </w:rPr>
        <w:t>].  Our authentication procedures maximize the principles of “least privileged” and “zero trust,” and we [</w:t>
      </w:r>
      <w:r w:rsidRPr="003372E3">
        <w:rPr>
          <w:rFonts w:ascii="Garamond" w:hAnsi="Garamond"/>
          <w:color w:val="4472C4" w:themeColor="accent1"/>
        </w:rPr>
        <w:t>employ</w:t>
      </w:r>
      <w:r>
        <w:rPr>
          <w:rFonts w:ascii="Garamond" w:hAnsi="Garamond"/>
        </w:rPr>
        <w:t>] [</w:t>
      </w:r>
      <w:r w:rsidRPr="003372E3">
        <w:rPr>
          <w:rFonts w:ascii="Garamond" w:hAnsi="Garamond"/>
          <w:color w:val="4472C4" w:themeColor="accent1"/>
        </w:rPr>
        <w:t>are implementing</w:t>
      </w:r>
      <w:r>
        <w:rPr>
          <w:rFonts w:ascii="Garamond" w:hAnsi="Garamond"/>
        </w:rPr>
        <w:t xml:space="preserve">] multi-factor authentication.  Our remote access policies employ these practices as well.  Our offboarding process ensures that </w:t>
      </w:r>
      <w:r w:rsidR="00A82DB4">
        <w:rPr>
          <w:rFonts w:ascii="Garamond" w:hAnsi="Garamond"/>
        </w:rPr>
        <w:t xml:space="preserve">logical and physical </w:t>
      </w:r>
      <w:r>
        <w:rPr>
          <w:rFonts w:ascii="Garamond" w:hAnsi="Garamond"/>
        </w:rPr>
        <w:t>access is terminated for departing employees</w:t>
      </w:r>
      <w:r w:rsidR="0064673E">
        <w:rPr>
          <w:rFonts w:ascii="Garamond" w:hAnsi="Garamond"/>
        </w:rPr>
        <w:t xml:space="preserve"> on the day of their departure</w:t>
      </w:r>
      <w:r>
        <w:rPr>
          <w:rFonts w:ascii="Garamond" w:hAnsi="Garamond"/>
        </w:rPr>
        <w:t xml:space="preserve">.  We audit and </w:t>
      </w:r>
      <w:r w:rsidR="00182351">
        <w:rPr>
          <w:rFonts w:ascii="Garamond" w:hAnsi="Garamond"/>
        </w:rPr>
        <w:t>assess</w:t>
      </w:r>
      <w:r>
        <w:rPr>
          <w:rFonts w:ascii="Garamond" w:hAnsi="Garamond"/>
        </w:rPr>
        <w:t xml:space="preserve"> these processes to ensure their effectiveness.</w:t>
      </w:r>
    </w:p>
    <w:p w14:paraId="06B90504" w14:textId="09FF2859" w:rsidR="00897982" w:rsidRPr="00FA14BD" w:rsidRDefault="00897982" w:rsidP="00897982">
      <w:pPr>
        <w:pStyle w:val="NormalWeb"/>
        <w:spacing w:before="0" w:beforeAutospacing="0" w:after="240" w:afterAutospacing="0"/>
        <w:rPr>
          <w:rFonts w:ascii="Garamond" w:hAnsi="Garamond"/>
        </w:rPr>
      </w:pPr>
      <w:r w:rsidRPr="001F0885">
        <w:rPr>
          <w:rFonts w:ascii="Garamond" w:hAnsi="Garamond"/>
          <w:u w:val="single"/>
        </w:rPr>
        <w:t>Data Protection</w:t>
      </w:r>
      <w:r>
        <w:rPr>
          <w:rFonts w:ascii="Garamond" w:hAnsi="Garamond"/>
        </w:rPr>
        <w:t>.</w:t>
      </w:r>
      <w:r>
        <w:rPr>
          <w:rStyle w:val="FootnoteReference"/>
          <w:rFonts w:ascii="Garamond" w:hAnsi="Garamond"/>
        </w:rPr>
        <w:footnoteReference w:id="7"/>
      </w:r>
      <w:r>
        <w:rPr>
          <w:rFonts w:ascii="Garamond" w:hAnsi="Garamond"/>
        </w:rPr>
        <w:t xml:space="preserve">  </w:t>
      </w:r>
      <w:r w:rsidR="002A13E3">
        <w:rPr>
          <w:rFonts w:ascii="Garamond" w:hAnsi="Garamond"/>
        </w:rPr>
        <w:t xml:space="preserve">We protect data at rest and in-motion.  </w:t>
      </w:r>
      <w:r>
        <w:rPr>
          <w:rFonts w:ascii="Garamond" w:hAnsi="Garamond"/>
        </w:rPr>
        <w:t>Our encryption policies ensure that no sensitive data is stored in plaintext</w:t>
      </w:r>
      <w:r w:rsidR="005C01E2">
        <w:rPr>
          <w:rFonts w:ascii="Garamond" w:hAnsi="Garamond"/>
        </w:rPr>
        <w:t>,</w:t>
      </w:r>
      <w:r w:rsidR="00A11869">
        <w:rPr>
          <w:rFonts w:ascii="Garamond" w:hAnsi="Garamond"/>
        </w:rPr>
        <w:t xml:space="preserve"> and that </w:t>
      </w:r>
      <w:r w:rsidR="005C01E2">
        <w:rPr>
          <w:rFonts w:ascii="Garamond" w:hAnsi="Garamond"/>
        </w:rPr>
        <w:t xml:space="preserve">other </w:t>
      </w:r>
      <w:r w:rsidR="00F33CF8">
        <w:rPr>
          <w:rFonts w:ascii="Garamond" w:hAnsi="Garamond"/>
        </w:rPr>
        <w:t xml:space="preserve">data at-rest and </w:t>
      </w:r>
      <w:r w:rsidR="00A11869">
        <w:rPr>
          <w:rFonts w:ascii="Garamond" w:hAnsi="Garamond"/>
        </w:rPr>
        <w:t xml:space="preserve">data in-transit </w:t>
      </w:r>
      <w:r w:rsidR="000D6C12">
        <w:rPr>
          <w:rFonts w:ascii="Garamond" w:hAnsi="Garamond"/>
        </w:rPr>
        <w:t xml:space="preserve">(including e-mail) </w:t>
      </w:r>
      <w:r w:rsidR="00A11869">
        <w:rPr>
          <w:rFonts w:ascii="Garamond" w:hAnsi="Garamond"/>
        </w:rPr>
        <w:t xml:space="preserve">is encrypted, </w:t>
      </w:r>
      <w:r w:rsidR="00356DEC">
        <w:rPr>
          <w:rFonts w:ascii="Garamond" w:hAnsi="Garamond"/>
        </w:rPr>
        <w:t>when technically feasible</w:t>
      </w:r>
      <w:r>
        <w:rPr>
          <w:rFonts w:ascii="Garamond" w:hAnsi="Garamond"/>
        </w:rPr>
        <w:t>.  We also protect passwords via [</w:t>
      </w:r>
      <w:r w:rsidR="003B346B">
        <w:rPr>
          <w:rFonts w:ascii="Garamond" w:hAnsi="Garamond"/>
          <w:color w:val="4472C4" w:themeColor="accent1"/>
        </w:rPr>
        <w:t>p</w:t>
      </w:r>
      <w:r w:rsidRPr="001D612E">
        <w:rPr>
          <w:rFonts w:ascii="Garamond" w:hAnsi="Garamond"/>
          <w:color w:val="4472C4" w:themeColor="accent1"/>
        </w:rPr>
        <w:t xml:space="preserve">assword </w:t>
      </w:r>
      <w:r w:rsidR="003B346B">
        <w:rPr>
          <w:rFonts w:ascii="Garamond" w:hAnsi="Garamond"/>
          <w:color w:val="4472C4" w:themeColor="accent1"/>
        </w:rPr>
        <w:t>k</w:t>
      </w:r>
      <w:r w:rsidR="003B346B" w:rsidRPr="001D612E">
        <w:rPr>
          <w:rFonts w:ascii="Garamond" w:hAnsi="Garamond"/>
          <w:color w:val="4472C4" w:themeColor="accent1"/>
        </w:rPr>
        <w:t xml:space="preserve">eeper </w:t>
      </w:r>
      <w:r w:rsidRPr="001D612E">
        <w:rPr>
          <w:rFonts w:ascii="Garamond" w:hAnsi="Garamond"/>
          <w:color w:val="4472C4" w:themeColor="accent1"/>
        </w:rPr>
        <w:t>or other safekeeping</w:t>
      </w:r>
      <w:r>
        <w:rPr>
          <w:rFonts w:ascii="Garamond" w:hAnsi="Garamond"/>
        </w:rPr>
        <w:t>].  We back up our data at least once per year and test backups annually.</w:t>
      </w:r>
      <w:r w:rsidR="00356DEC">
        <w:rPr>
          <w:rFonts w:ascii="Garamond" w:hAnsi="Garamond"/>
        </w:rPr>
        <w:t xml:space="preserve">  </w:t>
      </w:r>
      <w:r w:rsidR="00AD0D32">
        <w:rPr>
          <w:rFonts w:ascii="Garamond" w:hAnsi="Garamond"/>
        </w:rPr>
        <w:t xml:space="preserve">Critical information about OT systems is </w:t>
      </w:r>
      <w:r w:rsidR="00F75666">
        <w:rPr>
          <w:rFonts w:ascii="Garamond" w:hAnsi="Garamond"/>
        </w:rPr>
        <w:t xml:space="preserve">backed-up (configurations, roles, programmable controller logic, engineering drawings and tools).  </w:t>
      </w:r>
      <w:r w:rsidR="00B7299C">
        <w:rPr>
          <w:rFonts w:ascii="Garamond" w:hAnsi="Garamond"/>
        </w:rPr>
        <w:t xml:space="preserve">Further, we review </w:t>
      </w:r>
      <w:r w:rsidR="00B00E71">
        <w:rPr>
          <w:rFonts w:ascii="Garamond" w:hAnsi="Garamond"/>
        </w:rPr>
        <w:t xml:space="preserve">and amend our encryption practices </w:t>
      </w:r>
      <w:r w:rsidR="00E24DEF">
        <w:rPr>
          <w:rFonts w:ascii="Garamond" w:hAnsi="Garamond"/>
        </w:rPr>
        <w:t>to address known degradations.</w:t>
      </w:r>
      <w:r w:rsidR="00B7299C">
        <w:rPr>
          <w:rFonts w:ascii="Garamond" w:hAnsi="Garamond"/>
        </w:rPr>
        <w:t xml:space="preserve"> </w:t>
      </w:r>
    </w:p>
    <w:p w14:paraId="77235AF4" w14:textId="77777777" w:rsidR="009D6B97" w:rsidRPr="00FA14BD" w:rsidRDefault="009D6B97" w:rsidP="009D6B97">
      <w:pPr>
        <w:pStyle w:val="NormalWeb"/>
        <w:spacing w:before="0" w:beforeAutospacing="0" w:after="240" w:afterAutospacing="0"/>
        <w:rPr>
          <w:rFonts w:ascii="Garamond" w:hAnsi="Garamond"/>
        </w:rPr>
      </w:pPr>
      <w:r>
        <w:rPr>
          <w:rFonts w:ascii="Garamond" w:hAnsi="Garamond"/>
          <w:u w:val="single"/>
        </w:rPr>
        <w:t xml:space="preserve">Change </w:t>
      </w:r>
      <w:r w:rsidRPr="002A4004">
        <w:rPr>
          <w:rFonts w:ascii="Garamond" w:hAnsi="Garamond"/>
          <w:u w:val="single"/>
        </w:rPr>
        <w:t>Management</w:t>
      </w:r>
      <w:r>
        <w:rPr>
          <w:rFonts w:ascii="Garamond" w:hAnsi="Garamond"/>
        </w:rPr>
        <w:t>.</w:t>
      </w:r>
      <w:r>
        <w:rPr>
          <w:rStyle w:val="FootnoteReference"/>
          <w:rFonts w:ascii="Garamond" w:hAnsi="Garamond"/>
        </w:rPr>
        <w:footnoteReference w:id="8"/>
      </w:r>
      <w:r>
        <w:rPr>
          <w:rFonts w:ascii="Garamond" w:hAnsi="Garamond"/>
        </w:rPr>
        <w:t xml:space="preserve"> </w:t>
      </w:r>
      <w:r w:rsidRPr="00FA14BD">
        <w:rPr>
          <w:rFonts w:ascii="Garamond" w:hAnsi="Garamond"/>
        </w:rPr>
        <w:t xml:space="preserve"> </w:t>
      </w:r>
      <w:r>
        <w:rPr>
          <w:rFonts w:ascii="Garamond" w:hAnsi="Garamond"/>
        </w:rPr>
        <w:t>Our change management policy has established baseline configurations for critical IT and OT systems (including roles, programmable controller logic, engineering drawings and tools) and network topology.  Periodic reviews and updates are performed and tracked on a recurring basis.</w:t>
      </w:r>
    </w:p>
    <w:p w14:paraId="01DB3801" w14:textId="391214DD" w:rsidR="009D6B97" w:rsidRDefault="009D6B97" w:rsidP="00897982">
      <w:pPr>
        <w:pStyle w:val="NormalWeb"/>
        <w:spacing w:before="0" w:beforeAutospacing="0" w:after="240" w:afterAutospacing="0"/>
        <w:rPr>
          <w:rFonts w:ascii="Garamond" w:hAnsi="Garamond"/>
          <w:u w:val="single"/>
        </w:rPr>
      </w:pPr>
      <w:r w:rsidRPr="002A4004">
        <w:rPr>
          <w:rFonts w:ascii="Garamond" w:hAnsi="Garamond"/>
          <w:u w:val="single"/>
        </w:rPr>
        <w:t>L</w:t>
      </w:r>
      <w:r w:rsidRPr="001F0885">
        <w:rPr>
          <w:rFonts w:ascii="Garamond" w:hAnsi="Garamond"/>
          <w:u w:val="single"/>
        </w:rPr>
        <w:t>ogging</w:t>
      </w:r>
      <w:r>
        <w:rPr>
          <w:rFonts w:ascii="Garamond" w:hAnsi="Garamond"/>
          <w:u w:val="single"/>
        </w:rPr>
        <w:t>, Monitoring, and Threat Detection</w:t>
      </w:r>
      <w:r>
        <w:rPr>
          <w:rFonts w:ascii="Garamond" w:hAnsi="Garamond"/>
        </w:rPr>
        <w:t>.</w:t>
      </w:r>
      <w:r>
        <w:rPr>
          <w:rStyle w:val="FootnoteReference"/>
          <w:rFonts w:ascii="Garamond" w:hAnsi="Garamond"/>
        </w:rPr>
        <w:footnoteReference w:id="9"/>
      </w:r>
      <w:r w:rsidRPr="00FA14BD">
        <w:rPr>
          <w:rFonts w:ascii="Garamond" w:hAnsi="Garamond"/>
        </w:rPr>
        <w:t xml:space="preserve"> </w:t>
      </w:r>
      <w:r>
        <w:rPr>
          <w:rFonts w:ascii="Garamond" w:hAnsi="Garamond"/>
        </w:rPr>
        <w:t xml:space="preserve"> Logging and monitoring for potentially adverse events is an ongoing function, which is mapped to known threats to the organization.  We collect and </w:t>
      </w:r>
      <w:r>
        <w:rPr>
          <w:rFonts w:ascii="Garamond" w:hAnsi="Garamond"/>
        </w:rPr>
        <w:lastRenderedPageBreak/>
        <w:t>monitor activity logs from all available sources, including IT and OT infrastructure.  Physical access to sensitive systems is also monitored.  Further, external service provider activities and services are monitored, where feasible.  Logs are stored securely for [</w:t>
      </w:r>
      <w:r>
        <w:rPr>
          <w:rFonts w:ascii="Garamond" w:hAnsi="Garamond"/>
          <w:color w:val="4472C4" w:themeColor="accent1"/>
        </w:rPr>
        <w:t xml:space="preserve">insert </w:t>
      </w:r>
      <w:proofErr w:type="gramStart"/>
      <w:r>
        <w:rPr>
          <w:rFonts w:ascii="Garamond" w:hAnsi="Garamond"/>
          <w:color w:val="4472C4" w:themeColor="accent1"/>
        </w:rPr>
        <w:t>time period</w:t>
      </w:r>
      <w:proofErr w:type="gramEnd"/>
      <w:r>
        <w:rPr>
          <w:rFonts w:ascii="Garamond" w:hAnsi="Garamond"/>
        </w:rPr>
        <w:t>] in [</w:t>
      </w:r>
      <w:r>
        <w:rPr>
          <w:rFonts w:ascii="Garamond" w:hAnsi="Garamond"/>
          <w:color w:val="4472C4" w:themeColor="accent1"/>
        </w:rPr>
        <w:t>identify</w:t>
      </w:r>
      <w:r w:rsidRPr="009E465C">
        <w:rPr>
          <w:rFonts w:ascii="Garamond" w:hAnsi="Garamond"/>
          <w:color w:val="4472C4" w:themeColor="accent1"/>
        </w:rPr>
        <w:t xml:space="preserve"> </w:t>
      </w:r>
      <w:r>
        <w:rPr>
          <w:rFonts w:ascii="Garamond" w:hAnsi="Garamond"/>
          <w:color w:val="4472C4" w:themeColor="accent1"/>
        </w:rPr>
        <w:t>any system(s), such as intrusion detection systems that actively monitor</w:t>
      </w:r>
      <w:r>
        <w:rPr>
          <w:rFonts w:ascii="Garamond" w:hAnsi="Garamond"/>
        </w:rPr>
        <w:t xml:space="preserve">].  Automated notifications of anomalies and alerts to the absence of log data are enabled.  </w:t>
      </w:r>
    </w:p>
    <w:p w14:paraId="00FE5F43" w14:textId="5B2B5192" w:rsidR="00897982" w:rsidRPr="00FA14BD" w:rsidRDefault="00897982" w:rsidP="00897982">
      <w:pPr>
        <w:pStyle w:val="NormalWeb"/>
        <w:spacing w:before="0" w:beforeAutospacing="0" w:after="240" w:afterAutospacing="0"/>
        <w:rPr>
          <w:rFonts w:ascii="Garamond" w:hAnsi="Garamond"/>
        </w:rPr>
      </w:pPr>
      <w:r w:rsidRPr="000B2022">
        <w:rPr>
          <w:rFonts w:ascii="Garamond" w:hAnsi="Garamond"/>
          <w:u w:val="single"/>
        </w:rPr>
        <w:t>Device Usage</w:t>
      </w:r>
      <w:r>
        <w:rPr>
          <w:rFonts w:ascii="Garamond" w:hAnsi="Garamond"/>
        </w:rPr>
        <w:t>.</w:t>
      </w:r>
      <w:r>
        <w:rPr>
          <w:rStyle w:val="FootnoteReference"/>
          <w:rFonts w:ascii="Garamond" w:hAnsi="Garamond"/>
        </w:rPr>
        <w:footnoteReference w:id="10"/>
      </w:r>
      <w:r>
        <w:rPr>
          <w:rFonts w:ascii="Garamond" w:hAnsi="Garamond"/>
        </w:rPr>
        <w:t xml:space="preserve"> </w:t>
      </w:r>
      <w:r w:rsidR="000332A9">
        <w:rPr>
          <w:rFonts w:ascii="Garamond" w:hAnsi="Garamond"/>
        </w:rPr>
        <w:t xml:space="preserve"> </w:t>
      </w:r>
      <w:r>
        <w:rPr>
          <w:rFonts w:ascii="Garamond" w:hAnsi="Garamond"/>
        </w:rPr>
        <w:t xml:space="preserve">Our policy for device usage prohibits connection of unauthorized devices </w:t>
      </w:r>
      <w:proofErr w:type="gramStart"/>
      <w:r>
        <w:rPr>
          <w:rFonts w:ascii="Garamond" w:hAnsi="Garamond"/>
        </w:rPr>
        <w:t>and also</w:t>
      </w:r>
      <w:proofErr w:type="gramEnd"/>
      <w:r>
        <w:rPr>
          <w:rFonts w:ascii="Garamond" w:hAnsi="Garamond"/>
        </w:rPr>
        <w:t xml:space="preserve"> disables device connections where feasible, with exception procedures where not feasible.</w:t>
      </w:r>
      <w:r w:rsidR="00376479">
        <w:rPr>
          <w:rFonts w:ascii="Garamond" w:hAnsi="Garamond"/>
        </w:rPr>
        <w:t xml:space="preserve"> Installation and execution of unauthorized software are prevented.</w:t>
      </w:r>
      <w:r w:rsidR="0027023A">
        <w:rPr>
          <w:rFonts w:ascii="Garamond" w:hAnsi="Garamond"/>
        </w:rPr>
        <w:t xml:space="preserve"> </w:t>
      </w:r>
      <w:r w:rsidR="00376479">
        <w:rPr>
          <w:rFonts w:ascii="Garamond" w:hAnsi="Garamond"/>
        </w:rPr>
        <w:t xml:space="preserve"> </w:t>
      </w:r>
      <w:r w:rsidR="0051365D">
        <w:rPr>
          <w:rFonts w:ascii="Garamond" w:hAnsi="Garamond"/>
        </w:rPr>
        <w:t>We disable m</w:t>
      </w:r>
      <w:r w:rsidR="007F1640">
        <w:rPr>
          <w:rFonts w:ascii="Garamond" w:hAnsi="Garamond"/>
        </w:rPr>
        <w:t>acros</w:t>
      </w:r>
      <w:r w:rsidR="00376479">
        <w:rPr>
          <w:rFonts w:ascii="Garamond" w:hAnsi="Garamond"/>
        </w:rPr>
        <w:t xml:space="preserve"> </w:t>
      </w:r>
      <w:r w:rsidR="00E538FA">
        <w:rPr>
          <w:rFonts w:ascii="Garamond" w:hAnsi="Garamond"/>
        </w:rPr>
        <w:t xml:space="preserve">and other embedded code </w:t>
      </w:r>
      <w:r w:rsidR="00376479">
        <w:rPr>
          <w:rFonts w:ascii="Garamond" w:hAnsi="Garamond"/>
        </w:rPr>
        <w:t>by default and apply an exception policy if necessary.</w:t>
      </w:r>
      <w:r w:rsidR="000076DD">
        <w:rPr>
          <w:rFonts w:ascii="Garamond" w:hAnsi="Garamond"/>
        </w:rPr>
        <w:t xml:space="preserve">  Personnel activity and technology usage are </w:t>
      </w:r>
      <w:r w:rsidR="00A84D48">
        <w:rPr>
          <w:rFonts w:ascii="Garamond" w:hAnsi="Garamond"/>
        </w:rPr>
        <w:t>monitored to find potentially adverse events.</w:t>
      </w:r>
      <w:r w:rsidR="000076DD">
        <w:rPr>
          <w:rFonts w:ascii="Garamond" w:hAnsi="Garamond"/>
        </w:rPr>
        <w:t xml:space="preserve">  </w:t>
      </w:r>
    </w:p>
    <w:p w14:paraId="173B74F5" w14:textId="484924B5" w:rsidR="007A2D0C" w:rsidRPr="00FA14BD" w:rsidRDefault="00897982" w:rsidP="007A2D0C">
      <w:pPr>
        <w:pStyle w:val="NormalWeb"/>
        <w:spacing w:before="0" w:beforeAutospacing="0" w:after="240" w:afterAutospacing="0"/>
        <w:rPr>
          <w:rFonts w:ascii="Garamond" w:hAnsi="Garamond"/>
        </w:rPr>
      </w:pPr>
      <w:r w:rsidRPr="000B2022">
        <w:rPr>
          <w:rFonts w:ascii="Garamond" w:hAnsi="Garamond"/>
          <w:u w:val="single"/>
        </w:rPr>
        <w:t>Training</w:t>
      </w:r>
      <w:r>
        <w:rPr>
          <w:rFonts w:ascii="Garamond" w:hAnsi="Garamond"/>
        </w:rPr>
        <w:t>.</w:t>
      </w:r>
      <w:r>
        <w:rPr>
          <w:rStyle w:val="FootnoteReference"/>
          <w:rFonts w:ascii="Garamond" w:hAnsi="Garamond"/>
        </w:rPr>
        <w:footnoteReference w:id="11"/>
      </w:r>
      <w:r>
        <w:rPr>
          <w:rFonts w:ascii="Garamond" w:hAnsi="Garamond"/>
        </w:rPr>
        <w:t xml:space="preserve">  The Plan requires annual cybersecurity training for all employees, and specialized annual training for all privileged users and personnel focused on OT-specific threats. </w:t>
      </w:r>
    </w:p>
    <w:p w14:paraId="0F33E6DF" w14:textId="05D2787F" w:rsidR="00897982" w:rsidRDefault="00897982" w:rsidP="00897982">
      <w:pPr>
        <w:pStyle w:val="NormalWeb"/>
        <w:spacing w:before="0" w:beforeAutospacing="0" w:after="240" w:afterAutospacing="0"/>
        <w:rPr>
          <w:rFonts w:ascii="Garamond" w:hAnsi="Garamond"/>
        </w:rPr>
      </w:pPr>
      <w:r w:rsidRPr="000B2022">
        <w:rPr>
          <w:rFonts w:ascii="Garamond" w:hAnsi="Garamond"/>
          <w:u w:val="single"/>
        </w:rPr>
        <w:t>Incident Response</w:t>
      </w:r>
      <w:r>
        <w:rPr>
          <w:rFonts w:ascii="Garamond" w:hAnsi="Garamond"/>
        </w:rPr>
        <w:t>.</w:t>
      </w:r>
      <w:r>
        <w:rPr>
          <w:rStyle w:val="FootnoteReference"/>
          <w:rFonts w:ascii="Garamond" w:hAnsi="Garamond"/>
        </w:rPr>
        <w:footnoteReference w:id="12"/>
      </w:r>
      <w:r>
        <w:rPr>
          <w:rFonts w:ascii="Garamond" w:hAnsi="Garamond"/>
        </w:rPr>
        <w:t xml:space="preserve">  We have developed, implemented, and exercised a Cyber Incident Response Plan </w:t>
      </w:r>
      <w:r w:rsidR="006855E1">
        <w:rPr>
          <w:rFonts w:ascii="Garamond" w:hAnsi="Garamond"/>
        </w:rPr>
        <w:t xml:space="preserve">(CIRP) </w:t>
      </w:r>
      <w:r>
        <w:rPr>
          <w:rFonts w:ascii="Garamond" w:hAnsi="Garamond"/>
        </w:rPr>
        <w:t xml:space="preserve">that is understood </w:t>
      </w:r>
      <w:r w:rsidR="008C00CC">
        <w:rPr>
          <w:rFonts w:ascii="Garamond" w:hAnsi="Garamond"/>
        </w:rPr>
        <w:t xml:space="preserve">by all relevant </w:t>
      </w:r>
      <w:r w:rsidR="00C06E93">
        <w:rPr>
          <w:rFonts w:ascii="Garamond" w:hAnsi="Garamond"/>
        </w:rPr>
        <w:t>employees within the organization</w:t>
      </w:r>
      <w:r>
        <w:rPr>
          <w:rFonts w:ascii="Garamond" w:hAnsi="Garamond"/>
        </w:rPr>
        <w:t>.</w:t>
      </w:r>
      <w:r w:rsidR="008D27AB">
        <w:rPr>
          <w:rFonts w:ascii="Garamond" w:hAnsi="Garamond"/>
        </w:rPr>
        <w:t xml:space="preserve">  The CIRP includes policies </w:t>
      </w:r>
      <w:r w:rsidR="00122B3B">
        <w:rPr>
          <w:rFonts w:ascii="Garamond" w:hAnsi="Garamond"/>
        </w:rPr>
        <w:t xml:space="preserve">for information-sharing during an incident, including </w:t>
      </w:r>
      <w:r w:rsidR="00162692">
        <w:rPr>
          <w:rFonts w:ascii="Garamond" w:hAnsi="Garamond"/>
        </w:rPr>
        <w:t xml:space="preserve">regulatory incident-notification requirements.  </w:t>
      </w:r>
    </w:p>
    <w:p w14:paraId="1F0F0923" w14:textId="7B5E659E" w:rsidR="00AE1135" w:rsidRPr="00CA751F" w:rsidRDefault="00AE1135" w:rsidP="00897982">
      <w:pPr>
        <w:pStyle w:val="NormalWeb"/>
        <w:spacing w:before="0" w:beforeAutospacing="0" w:after="240" w:afterAutospacing="0"/>
        <w:rPr>
          <w:rFonts w:ascii="Garamond" w:hAnsi="Garamond"/>
          <w:u w:val="single"/>
        </w:rPr>
      </w:pPr>
      <w:r>
        <w:rPr>
          <w:rFonts w:ascii="Garamond" w:hAnsi="Garamond"/>
          <w:u w:val="single"/>
        </w:rPr>
        <w:t>Resilience</w:t>
      </w:r>
      <w:r w:rsidR="00B038F9">
        <w:rPr>
          <w:rFonts w:ascii="Garamond" w:hAnsi="Garamond"/>
          <w:u w:val="single"/>
        </w:rPr>
        <w:t xml:space="preserve"> and Recovery</w:t>
      </w:r>
      <w:r w:rsidRPr="00CA751F">
        <w:rPr>
          <w:rFonts w:ascii="Garamond" w:hAnsi="Garamond"/>
        </w:rPr>
        <w:t>.</w:t>
      </w:r>
      <w:r w:rsidRPr="00CA751F">
        <w:rPr>
          <w:rStyle w:val="FootnoteReference"/>
          <w:rFonts w:ascii="Garamond" w:hAnsi="Garamond"/>
        </w:rPr>
        <w:footnoteReference w:id="13"/>
      </w:r>
      <w:r w:rsidR="00582802">
        <w:rPr>
          <w:rFonts w:ascii="Garamond" w:hAnsi="Garamond"/>
        </w:rPr>
        <w:t xml:space="preserve"> </w:t>
      </w:r>
      <w:r w:rsidR="00C06E93">
        <w:rPr>
          <w:rFonts w:ascii="Garamond" w:hAnsi="Garamond"/>
        </w:rPr>
        <w:t xml:space="preserve"> </w:t>
      </w:r>
      <w:r w:rsidR="00582802">
        <w:rPr>
          <w:rFonts w:ascii="Garamond" w:hAnsi="Garamond"/>
        </w:rPr>
        <w:t>We employ technical and polic</w:t>
      </w:r>
      <w:r w:rsidR="0095738F">
        <w:rPr>
          <w:rFonts w:ascii="Garamond" w:hAnsi="Garamond"/>
        </w:rPr>
        <w:t xml:space="preserve">y measures to </w:t>
      </w:r>
      <w:r w:rsidR="00053642">
        <w:rPr>
          <w:rFonts w:ascii="Garamond" w:hAnsi="Garamond"/>
        </w:rPr>
        <w:t>achieve organizational resilience requirements</w:t>
      </w:r>
      <w:r w:rsidR="009A75CB">
        <w:rPr>
          <w:rFonts w:ascii="Garamond" w:hAnsi="Garamond"/>
        </w:rPr>
        <w:t xml:space="preserve"> and to recover </w:t>
      </w:r>
      <w:r w:rsidR="00C67E19">
        <w:rPr>
          <w:rFonts w:ascii="Garamond" w:hAnsi="Garamond"/>
        </w:rPr>
        <w:t>from adverse events</w:t>
      </w:r>
      <w:r w:rsidR="000D6C12">
        <w:rPr>
          <w:rFonts w:ascii="Garamond" w:hAnsi="Garamond"/>
        </w:rPr>
        <w:t xml:space="preserve">, including </w:t>
      </w:r>
      <w:r w:rsidR="00630B1C">
        <w:rPr>
          <w:rFonts w:ascii="Garamond" w:hAnsi="Garamond"/>
        </w:rPr>
        <w:t>[</w:t>
      </w:r>
      <w:r w:rsidR="00630B1C" w:rsidRPr="009E465C">
        <w:rPr>
          <w:rFonts w:ascii="Garamond" w:hAnsi="Garamond"/>
          <w:color w:val="4472C4" w:themeColor="accent1"/>
        </w:rPr>
        <w:t>describe high-level attributes</w:t>
      </w:r>
      <w:r w:rsidR="00630B1C">
        <w:rPr>
          <w:rFonts w:ascii="Garamond" w:hAnsi="Garamond"/>
        </w:rPr>
        <w:t>].</w:t>
      </w:r>
    </w:p>
    <w:p w14:paraId="552CA166" w14:textId="2DE27234" w:rsidR="00897982" w:rsidRPr="00971069" w:rsidRDefault="00897982" w:rsidP="00897982">
      <w:pPr>
        <w:pStyle w:val="NormalWeb"/>
        <w:spacing w:before="0" w:beforeAutospacing="0" w:after="240" w:afterAutospacing="0"/>
        <w:rPr>
          <w:rFonts w:ascii="Garamond" w:hAnsi="Garamond"/>
          <w:b/>
          <w:bCs/>
          <w:i/>
          <w:iCs/>
        </w:rPr>
      </w:pPr>
      <w:bookmarkStart w:id="0" w:name="_Hlk149289452"/>
      <w:r w:rsidRPr="00971069">
        <w:rPr>
          <w:rFonts w:ascii="Garamond" w:hAnsi="Garamond"/>
          <w:b/>
          <w:bCs/>
          <w:i/>
          <w:iCs/>
        </w:rPr>
        <w:t>Phase Three: Longer-Term Operational Priorities</w:t>
      </w:r>
      <w:bookmarkEnd w:id="0"/>
    </w:p>
    <w:p w14:paraId="2FAFA85F" w14:textId="4F26EA79" w:rsidR="00235D5E" w:rsidRDefault="00897982" w:rsidP="00235D5E">
      <w:pPr>
        <w:pStyle w:val="NormalWeb"/>
        <w:spacing w:before="0" w:beforeAutospacing="0" w:after="240" w:afterAutospacing="0"/>
        <w:rPr>
          <w:rFonts w:ascii="Garamond" w:hAnsi="Garamond"/>
        </w:rPr>
      </w:pPr>
      <w:r>
        <w:rPr>
          <w:rFonts w:ascii="Garamond" w:hAnsi="Garamond"/>
        </w:rPr>
        <w:t xml:space="preserve">The third phase of our Plan ensures long-term risk management regarding operational priorities that will remain in place regardless of day-to-day circumstances.  For example, testing and exercising our </w:t>
      </w:r>
      <w:r w:rsidR="00235D5E">
        <w:rPr>
          <w:rFonts w:ascii="Garamond" w:hAnsi="Garamond"/>
        </w:rPr>
        <w:t>CIRP</w:t>
      </w:r>
      <w:r w:rsidRPr="00FA14BD">
        <w:rPr>
          <w:rFonts w:ascii="Garamond" w:hAnsi="Garamond"/>
        </w:rPr>
        <w:t xml:space="preserve"> </w:t>
      </w:r>
      <w:r>
        <w:rPr>
          <w:rFonts w:ascii="Garamond" w:hAnsi="Garamond"/>
        </w:rPr>
        <w:t xml:space="preserve">will always be a priority, so we do so </w:t>
      </w:r>
      <w:r w:rsidR="000D6C12">
        <w:rPr>
          <w:rFonts w:ascii="Garamond" w:hAnsi="Garamond"/>
        </w:rPr>
        <w:t>[</w:t>
      </w:r>
      <w:r w:rsidRPr="000D6C12">
        <w:rPr>
          <w:rFonts w:ascii="Garamond" w:hAnsi="Garamond"/>
          <w:color w:val="4472C4" w:themeColor="accent1"/>
        </w:rPr>
        <w:t>at least annually</w:t>
      </w:r>
      <w:r w:rsidR="000D6C12">
        <w:rPr>
          <w:rFonts w:ascii="Garamond" w:hAnsi="Garamond"/>
        </w:rPr>
        <w:t>]</w:t>
      </w:r>
      <w:r w:rsidR="00DA549A">
        <w:rPr>
          <w:rFonts w:ascii="Garamond" w:hAnsi="Garamond"/>
        </w:rPr>
        <w:t xml:space="preserve"> [</w:t>
      </w:r>
      <w:r w:rsidR="00DA549A">
        <w:rPr>
          <w:rFonts w:ascii="Garamond" w:hAnsi="Garamond"/>
          <w:color w:val="4472C4" w:themeColor="accent1"/>
        </w:rPr>
        <w:t>if more frequently, specify</w:t>
      </w:r>
      <w:r w:rsidR="00DA549A">
        <w:rPr>
          <w:rFonts w:ascii="Garamond" w:hAnsi="Garamond"/>
        </w:rPr>
        <w:t>]</w:t>
      </w:r>
      <w:r>
        <w:rPr>
          <w:rFonts w:ascii="Garamond" w:hAnsi="Garamond"/>
        </w:rPr>
        <w:t xml:space="preserve">.  </w:t>
      </w:r>
      <w:r w:rsidR="000B176E">
        <w:rPr>
          <w:rFonts w:ascii="Garamond" w:hAnsi="Garamond"/>
        </w:rPr>
        <w:t xml:space="preserve">Where feasible, we include </w:t>
      </w:r>
      <w:r w:rsidR="00481AA7">
        <w:rPr>
          <w:rFonts w:ascii="Garamond" w:hAnsi="Garamond"/>
        </w:rPr>
        <w:t xml:space="preserve">relevant suppliers in incident planning, response, and recovery activities.  </w:t>
      </w:r>
      <w:r>
        <w:rPr>
          <w:rFonts w:ascii="Garamond" w:hAnsi="Garamond"/>
        </w:rPr>
        <w:t xml:space="preserve">Similarly, we regularly conduct </w:t>
      </w:r>
      <w:r w:rsidR="002A13E3">
        <w:rPr>
          <w:rFonts w:ascii="Garamond" w:hAnsi="Garamond"/>
        </w:rPr>
        <w:t>[</w:t>
      </w:r>
      <w:r w:rsidR="002A13E3">
        <w:rPr>
          <w:rFonts w:ascii="Garamond" w:hAnsi="Garamond"/>
          <w:color w:val="4472C4" w:themeColor="accent1"/>
        </w:rPr>
        <w:t>internal</w:t>
      </w:r>
      <w:r w:rsidR="00D550B1">
        <w:rPr>
          <w:rFonts w:ascii="Garamond" w:hAnsi="Garamond"/>
          <w:color w:val="4472C4" w:themeColor="accent1"/>
        </w:rPr>
        <w:t>/</w:t>
      </w:r>
      <w:r w:rsidR="002A13E3">
        <w:rPr>
          <w:rFonts w:ascii="Garamond" w:hAnsi="Garamond"/>
          <w:color w:val="4472C4" w:themeColor="accent1"/>
        </w:rPr>
        <w:t>third-party</w:t>
      </w:r>
      <w:r w:rsidR="002A13E3">
        <w:rPr>
          <w:rFonts w:ascii="Garamond" w:hAnsi="Garamond"/>
        </w:rPr>
        <w:t xml:space="preserve">] </w:t>
      </w:r>
      <w:r>
        <w:rPr>
          <w:rFonts w:ascii="Garamond" w:hAnsi="Garamond"/>
        </w:rPr>
        <w:t>audits of our cybersecurity and supply chain security risk management posture, as well as penetration tests to evaluate operational capabilities.</w:t>
      </w:r>
      <w:r w:rsidR="00481AA7">
        <w:rPr>
          <w:rFonts w:ascii="Garamond" w:hAnsi="Garamond"/>
        </w:rPr>
        <w:t xml:space="preserve">  The CIRP is updated within a risk-informed timeframe</w:t>
      </w:r>
      <w:r w:rsidR="00E103E3">
        <w:rPr>
          <w:rFonts w:ascii="Garamond" w:hAnsi="Garamond"/>
        </w:rPr>
        <w:t xml:space="preserve"> based on internal and external developments</w:t>
      </w:r>
      <w:r w:rsidR="00481AA7">
        <w:rPr>
          <w:rFonts w:ascii="Garamond" w:hAnsi="Garamond"/>
        </w:rPr>
        <w:t>.</w:t>
      </w:r>
      <w:r>
        <w:rPr>
          <w:rStyle w:val="FootnoteReference"/>
          <w:rFonts w:ascii="Garamond" w:hAnsi="Garamond"/>
        </w:rPr>
        <w:footnoteReference w:id="14"/>
      </w:r>
      <w:r>
        <w:rPr>
          <w:rFonts w:ascii="Garamond" w:hAnsi="Garamond"/>
        </w:rPr>
        <w:t xml:space="preserve"> </w:t>
      </w:r>
    </w:p>
    <w:p w14:paraId="12CE0C34" w14:textId="17459220" w:rsidR="00897982" w:rsidRPr="00FA14BD" w:rsidRDefault="00235D5E" w:rsidP="00897982">
      <w:pPr>
        <w:pStyle w:val="NormalWeb"/>
        <w:spacing w:before="0" w:beforeAutospacing="0" w:after="240" w:afterAutospacing="0"/>
        <w:rPr>
          <w:rFonts w:ascii="Garamond" w:hAnsi="Garamond"/>
        </w:rPr>
      </w:pPr>
      <w:r>
        <w:rPr>
          <w:rFonts w:ascii="Garamond" w:hAnsi="Garamond"/>
        </w:rPr>
        <w:t>L</w:t>
      </w:r>
      <w:r w:rsidR="00897982">
        <w:rPr>
          <w:rFonts w:ascii="Garamond" w:hAnsi="Garamond"/>
        </w:rPr>
        <w:t>ikewise, our [</w:t>
      </w:r>
      <w:r w:rsidR="00897982" w:rsidRPr="00D852D2">
        <w:rPr>
          <w:rFonts w:ascii="Garamond" w:hAnsi="Garamond"/>
          <w:color w:val="4472C4" w:themeColor="accent1"/>
        </w:rPr>
        <w:t>General Counsel or other executive</w:t>
      </w:r>
      <w:r w:rsidR="00897982">
        <w:rPr>
          <w:rFonts w:ascii="Garamond" w:hAnsi="Garamond"/>
        </w:rPr>
        <w:t>] has established processes to monitor and manage all le</w:t>
      </w:r>
      <w:r w:rsidR="00897982" w:rsidRPr="00FA14BD">
        <w:rPr>
          <w:rFonts w:ascii="Garamond" w:hAnsi="Garamond"/>
        </w:rPr>
        <w:t xml:space="preserve">gal, </w:t>
      </w:r>
      <w:r w:rsidR="00897982">
        <w:rPr>
          <w:rFonts w:ascii="Garamond" w:hAnsi="Garamond"/>
        </w:rPr>
        <w:t>r</w:t>
      </w:r>
      <w:r w:rsidR="00897982" w:rsidRPr="00FA14BD">
        <w:rPr>
          <w:rFonts w:ascii="Garamond" w:hAnsi="Garamond"/>
        </w:rPr>
        <w:t xml:space="preserve">egulatory, and </w:t>
      </w:r>
      <w:r w:rsidR="00897982">
        <w:rPr>
          <w:rFonts w:ascii="Garamond" w:hAnsi="Garamond"/>
        </w:rPr>
        <w:t>c</w:t>
      </w:r>
      <w:r w:rsidR="00897982" w:rsidRPr="00FA14BD">
        <w:rPr>
          <w:rFonts w:ascii="Garamond" w:hAnsi="Garamond"/>
        </w:rPr>
        <w:t xml:space="preserve">ontractual </w:t>
      </w:r>
      <w:r w:rsidR="00897982">
        <w:rPr>
          <w:rFonts w:ascii="Garamond" w:hAnsi="Garamond"/>
        </w:rPr>
        <w:t>r</w:t>
      </w:r>
      <w:r w:rsidR="00897982" w:rsidRPr="00FA14BD">
        <w:rPr>
          <w:rFonts w:ascii="Garamond" w:hAnsi="Garamond"/>
        </w:rPr>
        <w:t>equirements</w:t>
      </w:r>
      <w:r w:rsidR="00897982">
        <w:rPr>
          <w:rFonts w:ascii="Garamond" w:hAnsi="Garamond"/>
        </w:rPr>
        <w:t xml:space="preserve"> that pertain to this Plan, and our [</w:t>
      </w:r>
      <w:r w:rsidR="00CC1673">
        <w:rPr>
          <w:rFonts w:ascii="Garamond" w:hAnsi="Garamond"/>
          <w:color w:val="4472C4" w:themeColor="accent1"/>
        </w:rPr>
        <w:t xml:space="preserve">hiring </w:t>
      </w:r>
      <w:r w:rsidR="00CC1673">
        <w:rPr>
          <w:rFonts w:ascii="Garamond" w:hAnsi="Garamond"/>
          <w:color w:val="4472C4" w:themeColor="accent1"/>
        </w:rPr>
        <w:lastRenderedPageBreak/>
        <w:t>manager</w:t>
      </w:r>
      <w:r w:rsidR="00897982" w:rsidRPr="00536708">
        <w:rPr>
          <w:rFonts w:ascii="Garamond" w:hAnsi="Garamond"/>
          <w:color w:val="4472C4" w:themeColor="accent1"/>
        </w:rPr>
        <w:t xml:space="preserve"> or other executive</w:t>
      </w:r>
      <w:r w:rsidR="00897982">
        <w:rPr>
          <w:rFonts w:ascii="Garamond" w:hAnsi="Garamond"/>
        </w:rPr>
        <w:t>] has built cybersecurity and supply chain security into our hiring, training, and retention processes.</w:t>
      </w:r>
      <w:r w:rsidR="00A8122F">
        <w:rPr>
          <w:rStyle w:val="FootnoteReference"/>
          <w:rFonts w:ascii="Garamond" w:hAnsi="Garamond"/>
        </w:rPr>
        <w:footnoteReference w:id="15"/>
      </w:r>
    </w:p>
    <w:p w14:paraId="05B6E409" w14:textId="36B5237C" w:rsidR="00897982" w:rsidRDefault="00897982" w:rsidP="00897982">
      <w:pPr>
        <w:pStyle w:val="NormalWeb"/>
        <w:spacing w:before="0" w:beforeAutospacing="0" w:after="240" w:afterAutospacing="0"/>
        <w:rPr>
          <w:rFonts w:ascii="Garamond" w:hAnsi="Garamond"/>
        </w:rPr>
      </w:pPr>
      <w:r>
        <w:rPr>
          <w:rFonts w:ascii="Garamond" w:hAnsi="Garamond"/>
        </w:rPr>
        <w:t>For our equipment</w:t>
      </w:r>
      <w:r w:rsidR="002A13E3">
        <w:rPr>
          <w:rFonts w:ascii="Garamond" w:hAnsi="Garamond"/>
        </w:rPr>
        <w:t>,</w:t>
      </w:r>
      <w:r>
        <w:rPr>
          <w:rFonts w:ascii="Garamond" w:hAnsi="Garamond"/>
        </w:rPr>
        <w:t xml:space="preserve"> systems</w:t>
      </w:r>
      <w:r w:rsidR="002A13E3">
        <w:rPr>
          <w:rFonts w:ascii="Garamond" w:hAnsi="Garamond"/>
        </w:rPr>
        <w:t>,</w:t>
      </w:r>
      <w:r>
        <w:rPr>
          <w:rFonts w:ascii="Garamond" w:hAnsi="Garamond"/>
        </w:rPr>
        <w:t xml:space="preserve"> and data, we employ l</w:t>
      </w:r>
      <w:r w:rsidRPr="00FA14BD">
        <w:rPr>
          <w:rFonts w:ascii="Garamond" w:hAnsi="Garamond"/>
        </w:rPr>
        <w:t xml:space="preserve">ifecycle </w:t>
      </w:r>
      <w:r>
        <w:rPr>
          <w:rFonts w:ascii="Garamond" w:hAnsi="Garamond"/>
        </w:rPr>
        <w:t>m</w:t>
      </w:r>
      <w:r w:rsidRPr="00FA14BD">
        <w:rPr>
          <w:rFonts w:ascii="Garamond" w:hAnsi="Garamond"/>
        </w:rPr>
        <w:t>anagement</w:t>
      </w:r>
      <w:r>
        <w:rPr>
          <w:rFonts w:ascii="Garamond" w:hAnsi="Garamond"/>
        </w:rPr>
        <w:t>, including monitoring our supply chains, replacing equipment that poses undue risks, and implementing data retention and destruction policies.</w:t>
      </w:r>
      <w:r w:rsidR="00412F3D">
        <w:rPr>
          <w:rStyle w:val="FootnoteReference"/>
          <w:rFonts w:ascii="Garamond" w:hAnsi="Garamond"/>
        </w:rPr>
        <w:footnoteReference w:id="16"/>
      </w:r>
      <w:r>
        <w:rPr>
          <w:rFonts w:ascii="Garamond" w:hAnsi="Garamond"/>
        </w:rPr>
        <w:t xml:space="preserve">  </w:t>
      </w:r>
    </w:p>
    <w:p w14:paraId="5456E923" w14:textId="5E1F2177" w:rsidR="00897982" w:rsidRDefault="00897982" w:rsidP="00897982">
      <w:pPr>
        <w:pStyle w:val="NormalWeb"/>
        <w:spacing w:before="0" w:beforeAutospacing="0" w:after="240" w:afterAutospacing="0"/>
        <w:rPr>
          <w:rFonts w:ascii="Garamond" w:hAnsi="Garamond"/>
        </w:rPr>
      </w:pPr>
      <w:r>
        <w:rPr>
          <w:rFonts w:ascii="Garamond" w:hAnsi="Garamond"/>
        </w:rPr>
        <w:t xml:space="preserve">Collectively, these steps inform our efforts to </w:t>
      </w:r>
      <w:r w:rsidR="002A13E3">
        <w:rPr>
          <w:rFonts w:ascii="Garamond" w:hAnsi="Garamond"/>
        </w:rPr>
        <w:t xml:space="preserve">continually </w:t>
      </w:r>
      <w:r>
        <w:rPr>
          <w:rFonts w:ascii="Garamond" w:hAnsi="Garamond"/>
        </w:rPr>
        <w:t>review and improve our Plan and its various risk management components.</w:t>
      </w:r>
      <w:r>
        <w:rPr>
          <w:rStyle w:val="FootnoteReference"/>
          <w:rFonts w:ascii="Garamond" w:hAnsi="Garamond"/>
        </w:rPr>
        <w:footnoteReference w:id="17"/>
      </w:r>
    </w:p>
    <w:p w14:paraId="78888762" w14:textId="227338BF" w:rsidR="003D10EC" w:rsidRDefault="003D10EC" w:rsidP="003D10EC">
      <w:pPr>
        <w:pStyle w:val="NormalWeb"/>
        <w:spacing w:before="0" w:beforeAutospacing="0" w:after="240" w:afterAutospacing="0"/>
        <w:jc w:val="center"/>
        <w:rPr>
          <w:rFonts w:ascii="Garamond" w:hAnsi="Garamond"/>
          <w:b/>
          <w:bCs/>
          <w:u w:val="single"/>
        </w:rPr>
      </w:pPr>
      <w:r>
        <w:rPr>
          <w:rFonts w:ascii="Garamond" w:hAnsi="Garamond"/>
          <w:b/>
          <w:bCs/>
          <w:u w:val="single"/>
        </w:rPr>
        <w:t>CERTIFICATION</w:t>
      </w:r>
    </w:p>
    <w:p w14:paraId="5157B1C4" w14:textId="38DE3746" w:rsidR="003D10EC" w:rsidRDefault="003D10EC" w:rsidP="003D10EC">
      <w:pPr>
        <w:pStyle w:val="NormalWeb"/>
        <w:spacing w:before="0" w:beforeAutospacing="0" w:after="240" w:afterAutospacing="0"/>
        <w:rPr>
          <w:rFonts w:ascii="Garamond" w:hAnsi="Garamond"/>
        </w:rPr>
      </w:pPr>
      <w:r>
        <w:rPr>
          <w:rFonts w:ascii="Garamond" w:hAnsi="Garamond"/>
        </w:rPr>
        <w:t xml:space="preserve">I, </w:t>
      </w:r>
      <w:r w:rsidR="00256E2E">
        <w:rPr>
          <w:rFonts w:ascii="Garamond" w:hAnsi="Garamond"/>
        </w:rPr>
        <w:t>[</w:t>
      </w:r>
      <w:r w:rsidR="00256E2E" w:rsidRPr="00D852D2">
        <w:rPr>
          <w:rFonts w:ascii="Garamond" w:hAnsi="Garamond"/>
          <w:color w:val="4472C4" w:themeColor="accent1"/>
        </w:rPr>
        <w:t>executive</w:t>
      </w:r>
      <w:r w:rsidR="00256E2E">
        <w:rPr>
          <w:rFonts w:ascii="Garamond" w:hAnsi="Garamond"/>
        </w:rPr>
        <w:t xml:space="preserve">], hereby certify that the </w:t>
      </w:r>
      <w:r w:rsidR="00350108">
        <w:rPr>
          <w:rFonts w:ascii="Garamond" w:hAnsi="Garamond"/>
        </w:rPr>
        <w:t xml:space="preserve">above-described </w:t>
      </w:r>
      <w:r w:rsidR="00C100AA">
        <w:rPr>
          <w:rFonts w:ascii="Garamond" w:hAnsi="Garamond"/>
        </w:rPr>
        <w:t>Plan has been adopted by [</w:t>
      </w:r>
      <w:r w:rsidR="00CC1673" w:rsidRPr="00CC1673">
        <w:rPr>
          <w:rFonts w:ascii="Garamond" w:hAnsi="Garamond"/>
          <w:color w:val="4472C4" w:themeColor="accent1"/>
        </w:rPr>
        <w:t>Company</w:t>
      </w:r>
      <w:r w:rsidR="00C100AA">
        <w:rPr>
          <w:rFonts w:ascii="Garamond" w:hAnsi="Garamond"/>
        </w:rPr>
        <w:t>]</w:t>
      </w:r>
      <w:r w:rsidR="00853D67">
        <w:rPr>
          <w:rFonts w:ascii="Garamond" w:hAnsi="Garamond"/>
        </w:rPr>
        <w:t xml:space="preserve"> and, to the best of my knowledge, information, and </w:t>
      </w:r>
      <w:r w:rsidR="00AD4354">
        <w:rPr>
          <w:rFonts w:ascii="Garamond" w:hAnsi="Garamond"/>
        </w:rPr>
        <w:t>belief, is being implemented accordingly.</w:t>
      </w:r>
    </w:p>
    <w:p w14:paraId="295BDCE5" w14:textId="76AD253B" w:rsidR="00AD4354" w:rsidRPr="003D10EC" w:rsidRDefault="00AD4354" w:rsidP="003D10EC">
      <w:pPr>
        <w:pStyle w:val="NormalWeb"/>
        <w:spacing w:before="0" w:beforeAutospacing="0" w:after="240" w:afterAutospacing="0"/>
        <w:rPr>
          <w:rFonts w:ascii="Garamond" w:hAnsi="Garamond"/>
        </w:rPr>
      </w:pPr>
      <w:r>
        <w:rPr>
          <w:rFonts w:ascii="Garamond" w:hAnsi="Garamond"/>
        </w:rPr>
        <w:t>[</w:t>
      </w:r>
      <w:r>
        <w:rPr>
          <w:rFonts w:ascii="Garamond" w:hAnsi="Garamond"/>
          <w:color w:val="4472C4" w:themeColor="accent1"/>
        </w:rPr>
        <w:t>signature block</w:t>
      </w:r>
      <w:r>
        <w:rPr>
          <w:rFonts w:ascii="Garamond" w:hAnsi="Garamond"/>
        </w:rPr>
        <w:t>]</w:t>
      </w:r>
    </w:p>
    <w:p w14:paraId="7AD767AF" w14:textId="77777777" w:rsidR="00D65989" w:rsidRDefault="00D65989" w:rsidP="00897982">
      <w:pPr>
        <w:pStyle w:val="NormalWeb"/>
        <w:spacing w:before="80" w:beforeAutospacing="0" w:after="0" w:afterAutospacing="0"/>
      </w:pPr>
    </w:p>
    <w:sectPr w:rsidR="00D659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460E8" w14:textId="77777777" w:rsidR="00B34A10" w:rsidRDefault="00B34A10" w:rsidP="00B04D3B">
      <w:pPr>
        <w:spacing w:after="0" w:line="240" w:lineRule="auto"/>
      </w:pPr>
      <w:r>
        <w:separator/>
      </w:r>
    </w:p>
  </w:endnote>
  <w:endnote w:type="continuationSeparator" w:id="0">
    <w:p w14:paraId="551D709B" w14:textId="77777777" w:rsidR="00B34A10" w:rsidRDefault="00B34A10" w:rsidP="00B04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18E2F" w14:textId="77777777" w:rsidR="004B3A39" w:rsidRDefault="004B3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3015546"/>
      <w:docPartObj>
        <w:docPartGallery w:val="Page Numbers (Bottom of Page)"/>
        <w:docPartUnique/>
      </w:docPartObj>
    </w:sdtPr>
    <w:sdtEndPr>
      <w:rPr>
        <w:noProof/>
      </w:rPr>
    </w:sdtEndPr>
    <w:sdtContent>
      <w:p w14:paraId="78C4D528" w14:textId="77777777" w:rsidR="00614FB6" w:rsidRDefault="00614FB6">
        <w:pPr>
          <w:pStyle w:val="Footer"/>
          <w:jc w:val="right"/>
        </w:pPr>
      </w:p>
      <w:p w14:paraId="2B115DF3" w14:textId="3AAC22EE" w:rsidR="00614FB6" w:rsidRDefault="00614F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D638A1" w14:textId="3F5457CB" w:rsidR="00614FB6" w:rsidRPr="00614FB6" w:rsidRDefault="00614FB6" w:rsidP="00614FB6">
    <w:pPr>
      <w:spacing w:after="0" w:line="240" w:lineRule="auto"/>
      <w:rPr>
        <w:rFonts w:ascii="Times New Roman" w:eastAsia="Times New Roman" w:hAnsi="Times New Roman" w:cs="Times New Roman"/>
        <w:kern w:val="0"/>
        <w:sz w:val="24"/>
        <w:szCs w:val="24"/>
        <w14:ligatures w14:val="none"/>
      </w:rPr>
    </w:pPr>
    <w:r w:rsidRPr="00614FB6">
      <w:rPr>
        <w:rFonts w:ascii="Garamond" w:eastAsia="Times New Roman" w:hAnsi="Garamond" w:cs="Times New Roman"/>
        <w:color w:val="0563C1"/>
        <w:kern w:val="0"/>
        <w:sz w:val="18"/>
        <w:szCs w:val="18"/>
        <w14:ligatures w14:val="none"/>
      </w:rPr>
      <w:t>[Organization Name]</w:t>
    </w:r>
    <w:r w:rsidRPr="00614FB6">
      <w:rPr>
        <w:rFonts w:ascii="Garamond" w:eastAsia="Times New Roman" w:hAnsi="Garamond" w:cs="Times New Roman"/>
        <w:color w:val="000000"/>
        <w:kern w:val="0"/>
        <w:sz w:val="18"/>
        <w:szCs w:val="18"/>
        <w14:ligatures w14:val="none"/>
      </w:rPr>
      <w:t xml:space="preserve"> Cybersecurity Program Strategic Plan - </w:t>
    </w:r>
    <w:r w:rsidRPr="00614FB6">
      <w:rPr>
        <w:rFonts w:ascii="Garamond" w:eastAsia="Times New Roman" w:hAnsi="Garamond" w:cs="Times New Roman"/>
        <w:color w:val="0563C1"/>
        <w:kern w:val="0"/>
        <w:sz w:val="18"/>
        <w:szCs w:val="18"/>
        <w14:ligatures w14:val="none"/>
      </w:rPr>
      <w:t xml:space="preserve">[Version Number / Date of </w:t>
    </w:r>
    <w:r w:rsidR="00530343">
      <w:rPr>
        <w:rFonts w:ascii="Garamond" w:eastAsia="Times New Roman" w:hAnsi="Garamond" w:cs="Times New Roman"/>
        <w:color w:val="0563C1"/>
        <w:kern w:val="0"/>
        <w:sz w:val="18"/>
        <w:szCs w:val="18"/>
        <w14:ligatures w14:val="none"/>
      </w:rPr>
      <w:t>Approval</w:t>
    </w:r>
    <w:r w:rsidRPr="00614FB6">
      <w:rPr>
        <w:rFonts w:ascii="Garamond" w:eastAsia="Times New Roman" w:hAnsi="Garamond" w:cs="Times New Roman"/>
        <w:color w:val="0563C1"/>
        <w:kern w:val="0"/>
        <w:sz w:val="18"/>
        <w:szCs w:val="18"/>
        <w14:ligatures w14:val="none"/>
      </w:rPr>
      <w:t>]</w:t>
    </w:r>
  </w:p>
  <w:p w14:paraId="7C329C84" w14:textId="77777777" w:rsidR="00614FB6" w:rsidRDefault="00614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5F02B" w14:textId="77777777" w:rsidR="004B3A39" w:rsidRDefault="004B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52415" w14:textId="77777777" w:rsidR="00B34A10" w:rsidRDefault="00B34A10" w:rsidP="00B04D3B">
      <w:pPr>
        <w:spacing w:after="0" w:line="240" w:lineRule="auto"/>
      </w:pPr>
      <w:r>
        <w:separator/>
      </w:r>
    </w:p>
  </w:footnote>
  <w:footnote w:type="continuationSeparator" w:id="0">
    <w:p w14:paraId="0008267E" w14:textId="77777777" w:rsidR="00B34A10" w:rsidRDefault="00B34A10" w:rsidP="00B04D3B">
      <w:pPr>
        <w:spacing w:after="0" w:line="240" w:lineRule="auto"/>
      </w:pPr>
      <w:r>
        <w:continuationSeparator/>
      </w:r>
    </w:p>
  </w:footnote>
  <w:footnote w:id="1">
    <w:p w14:paraId="0C014692" w14:textId="5C03E3F6" w:rsidR="000E317C" w:rsidRPr="000E317C" w:rsidRDefault="000E317C" w:rsidP="000E317C">
      <w:pPr>
        <w:pStyle w:val="FootnoteText"/>
        <w:rPr>
          <w:rFonts w:ascii="Garamond" w:hAnsi="Garamond"/>
        </w:rPr>
      </w:pPr>
      <w:r w:rsidRPr="000E317C">
        <w:rPr>
          <w:rStyle w:val="FootnoteReference"/>
          <w:rFonts w:ascii="Garamond" w:hAnsi="Garamond"/>
        </w:rPr>
        <w:footnoteRef/>
      </w:r>
      <w:r w:rsidRPr="000E317C">
        <w:rPr>
          <w:rFonts w:ascii="Garamond" w:hAnsi="Garamond"/>
        </w:rPr>
        <w:t xml:space="preserve"> </w:t>
      </w:r>
      <w:r w:rsidR="000D6C12" w:rsidRPr="000D6C12">
        <w:rPr>
          <w:rFonts w:ascii="Garamond" w:hAnsi="Garamond"/>
          <w:i/>
          <w:iCs/>
        </w:rPr>
        <w:t>NISTIR 8276 Key Practices</w:t>
      </w:r>
      <w:r w:rsidR="000D6C12">
        <w:rPr>
          <w:rFonts w:ascii="Garamond" w:hAnsi="Garamond"/>
        </w:rPr>
        <w:t xml:space="preserve"> and related guidance in </w:t>
      </w:r>
      <w:r w:rsidR="000D6C12" w:rsidRPr="000D6C12">
        <w:rPr>
          <w:rFonts w:ascii="Garamond" w:hAnsi="Garamond"/>
          <w:i/>
          <w:iCs/>
        </w:rPr>
        <w:t>NIST SP 800-161</w:t>
      </w:r>
      <w:r w:rsidR="000D6C12">
        <w:rPr>
          <w:rFonts w:ascii="Garamond" w:hAnsi="Garamond"/>
        </w:rPr>
        <w:t xml:space="preserve">. </w:t>
      </w:r>
      <w:r w:rsidR="00897982" w:rsidRPr="00CA751F">
        <w:rPr>
          <w:rFonts w:ascii="Garamond" w:hAnsi="Garamond"/>
          <w:i/>
          <w:iCs/>
        </w:rPr>
        <w:t>CSF subcategories</w:t>
      </w:r>
      <w:r w:rsidR="00897982">
        <w:rPr>
          <w:rFonts w:ascii="Garamond" w:hAnsi="Garamond"/>
        </w:rPr>
        <w:t xml:space="preserve"> </w:t>
      </w:r>
      <w:r w:rsidR="00B22B04">
        <w:rPr>
          <w:rFonts w:ascii="Garamond" w:hAnsi="Garamond"/>
        </w:rPr>
        <w:t>ID.AM-01</w:t>
      </w:r>
      <w:r w:rsidR="00897982">
        <w:rPr>
          <w:rFonts w:ascii="Garamond" w:hAnsi="Garamond"/>
        </w:rPr>
        <w:t>;</w:t>
      </w:r>
      <w:r w:rsidR="00B22B04">
        <w:rPr>
          <w:rFonts w:ascii="Garamond" w:hAnsi="Garamond"/>
        </w:rPr>
        <w:t xml:space="preserve"> ID.AM-02</w:t>
      </w:r>
      <w:r w:rsidR="00897982">
        <w:rPr>
          <w:rFonts w:ascii="Garamond" w:hAnsi="Garamond"/>
        </w:rPr>
        <w:t>;</w:t>
      </w:r>
      <w:r w:rsidR="00B22B04">
        <w:rPr>
          <w:rFonts w:ascii="Garamond" w:hAnsi="Garamond"/>
        </w:rPr>
        <w:t xml:space="preserve"> ID.AM-04</w:t>
      </w:r>
      <w:r w:rsidR="00897982">
        <w:rPr>
          <w:rFonts w:ascii="Garamond" w:hAnsi="Garamond"/>
        </w:rPr>
        <w:t>;</w:t>
      </w:r>
      <w:r w:rsidR="00B22B04">
        <w:rPr>
          <w:rFonts w:ascii="Garamond" w:hAnsi="Garamond"/>
        </w:rPr>
        <w:t xml:space="preserve"> ID.AM-05</w:t>
      </w:r>
      <w:r w:rsidR="00897982">
        <w:rPr>
          <w:rFonts w:ascii="Garamond" w:hAnsi="Garamond"/>
        </w:rPr>
        <w:t>.</w:t>
      </w:r>
      <w:r w:rsidR="00B22B04">
        <w:rPr>
          <w:rFonts w:ascii="Garamond" w:hAnsi="Garamond"/>
        </w:rPr>
        <w:t xml:space="preserve"> </w:t>
      </w:r>
      <w:r w:rsidR="00B22B04" w:rsidRPr="00CA751F">
        <w:rPr>
          <w:rFonts w:ascii="Garamond" w:hAnsi="Garamond"/>
          <w:i/>
          <w:iCs/>
        </w:rPr>
        <w:t>CISA CPG</w:t>
      </w:r>
      <w:r w:rsidR="00B22B04">
        <w:rPr>
          <w:rFonts w:ascii="Garamond" w:hAnsi="Garamond"/>
        </w:rPr>
        <w:t xml:space="preserve"> 1.A.</w:t>
      </w:r>
    </w:p>
  </w:footnote>
  <w:footnote w:id="2">
    <w:p w14:paraId="740C67AD" w14:textId="6D7D4BDF" w:rsidR="000E317C" w:rsidRPr="000E317C" w:rsidRDefault="000E317C" w:rsidP="000E317C">
      <w:pPr>
        <w:pStyle w:val="FootnoteText"/>
        <w:rPr>
          <w:rFonts w:ascii="Garamond" w:hAnsi="Garamond"/>
        </w:rPr>
      </w:pPr>
      <w:r w:rsidRPr="000E317C">
        <w:rPr>
          <w:rStyle w:val="FootnoteReference"/>
          <w:rFonts w:ascii="Garamond" w:hAnsi="Garamond"/>
        </w:rPr>
        <w:footnoteRef/>
      </w:r>
      <w:r w:rsidRPr="000E317C">
        <w:rPr>
          <w:rFonts w:ascii="Garamond" w:hAnsi="Garamond"/>
        </w:rPr>
        <w:t xml:space="preserve"> </w:t>
      </w:r>
      <w:r w:rsidR="00897982" w:rsidRPr="00CA751F">
        <w:rPr>
          <w:rFonts w:ascii="Garamond" w:hAnsi="Garamond"/>
          <w:i/>
          <w:iCs/>
        </w:rPr>
        <w:t>CSF subcategories</w:t>
      </w:r>
      <w:r w:rsidR="00897982">
        <w:rPr>
          <w:rFonts w:ascii="Garamond" w:hAnsi="Garamond"/>
        </w:rPr>
        <w:t xml:space="preserve"> </w:t>
      </w:r>
      <w:r w:rsidR="00B22B04">
        <w:rPr>
          <w:rFonts w:ascii="Garamond" w:hAnsi="Garamond"/>
        </w:rPr>
        <w:t>ID.AM-03; ID.AM-07</w:t>
      </w:r>
      <w:r w:rsidR="00894DBE">
        <w:rPr>
          <w:rFonts w:ascii="Garamond" w:hAnsi="Garamond"/>
        </w:rPr>
        <w:t>.</w:t>
      </w:r>
    </w:p>
  </w:footnote>
  <w:footnote w:id="3">
    <w:p w14:paraId="725C2AC9" w14:textId="5E80646C" w:rsidR="000E317C" w:rsidRPr="000E317C" w:rsidRDefault="000E317C" w:rsidP="000E317C">
      <w:pPr>
        <w:pStyle w:val="FootnoteText"/>
        <w:rPr>
          <w:rFonts w:ascii="Garamond" w:hAnsi="Garamond"/>
        </w:rPr>
      </w:pPr>
      <w:r w:rsidRPr="000E317C">
        <w:rPr>
          <w:rStyle w:val="FootnoteReference"/>
          <w:rFonts w:ascii="Garamond" w:hAnsi="Garamond"/>
        </w:rPr>
        <w:footnoteRef/>
      </w:r>
      <w:r w:rsidRPr="000E317C">
        <w:rPr>
          <w:rFonts w:ascii="Garamond" w:hAnsi="Garamond"/>
        </w:rPr>
        <w:t xml:space="preserve"> </w:t>
      </w:r>
      <w:r w:rsidR="00436A81" w:rsidRPr="00436A81">
        <w:rPr>
          <w:rFonts w:ascii="Garamond" w:hAnsi="Garamond"/>
          <w:i/>
          <w:iCs/>
        </w:rPr>
        <w:t>NISTIR 8276 Key Practices</w:t>
      </w:r>
      <w:r w:rsidR="00436A81" w:rsidRPr="00436A81">
        <w:rPr>
          <w:rFonts w:ascii="Garamond" w:hAnsi="Garamond"/>
        </w:rPr>
        <w:t xml:space="preserve"> and related guidance in </w:t>
      </w:r>
      <w:r w:rsidR="00436A81" w:rsidRPr="00436A81">
        <w:rPr>
          <w:rFonts w:ascii="Garamond" w:hAnsi="Garamond"/>
          <w:i/>
          <w:iCs/>
        </w:rPr>
        <w:t>NIST SP 800-161</w:t>
      </w:r>
      <w:r w:rsidR="00436A81" w:rsidRPr="00436A81">
        <w:rPr>
          <w:rFonts w:ascii="Garamond" w:hAnsi="Garamond"/>
        </w:rPr>
        <w:t xml:space="preserve">. </w:t>
      </w:r>
      <w:r w:rsidR="00897982" w:rsidRPr="00CA751F">
        <w:rPr>
          <w:rFonts w:ascii="Garamond" w:hAnsi="Garamond"/>
          <w:i/>
          <w:iCs/>
        </w:rPr>
        <w:t>CSF subcategories</w:t>
      </w:r>
      <w:r w:rsidR="00897982">
        <w:rPr>
          <w:rFonts w:ascii="Garamond" w:hAnsi="Garamond"/>
        </w:rPr>
        <w:t xml:space="preserve"> </w:t>
      </w:r>
      <w:r w:rsidR="00894DBE">
        <w:rPr>
          <w:rFonts w:ascii="Garamond" w:hAnsi="Garamond"/>
        </w:rPr>
        <w:t>GV.OC-01; GV.OC-02; GV.OC-04; GV.OC-05; GV.RR-01; GV.RR-02; ID.RA-01; ID.RA-02; ID.RA-03; ID.RA-04; ID.RA-05; ID.RA-06; ID.RA-8; GV.RM-01; GV.RM-02; GV.RM-03; GV.RM-04; GV.RM-05; GV.RM-06</w:t>
      </w:r>
      <w:r w:rsidR="000B78B1">
        <w:rPr>
          <w:rFonts w:ascii="Garamond" w:hAnsi="Garamond"/>
        </w:rPr>
        <w:t>; GV.RR-03; GV.PO-01</w:t>
      </w:r>
      <w:r w:rsidR="00897982">
        <w:rPr>
          <w:rFonts w:ascii="Garamond" w:hAnsi="Garamond"/>
        </w:rPr>
        <w:t>.</w:t>
      </w:r>
      <w:r w:rsidR="000B78B1">
        <w:rPr>
          <w:rFonts w:ascii="Garamond" w:hAnsi="Garamond"/>
        </w:rPr>
        <w:t xml:space="preserve"> </w:t>
      </w:r>
      <w:r w:rsidR="00897982" w:rsidRPr="00CA751F">
        <w:rPr>
          <w:rFonts w:ascii="Garamond" w:hAnsi="Garamond"/>
          <w:i/>
          <w:iCs/>
        </w:rPr>
        <w:t xml:space="preserve">CISA </w:t>
      </w:r>
      <w:r w:rsidR="000B78B1" w:rsidRPr="00CA751F">
        <w:rPr>
          <w:rFonts w:ascii="Garamond" w:hAnsi="Garamond"/>
          <w:i/>
          <w:iCs/>
        </w:rPr>
        <w:t>CPG</w:t>
      </w:r>
      <w:r w:rsidR="00897982" w:rsidRPr="00CA751F">
        <w:rPr>
          <w:rFonts w:ascii="Garamond" w:hAnsi="Garamond"/>
          <w:i/>
          <w:iCs/>
        </w:rPr>
        <w:t>s</w:t>
      </w:r>
      <w:r w:rsidR="000B78B1">
        <w:rPr>
          <w:rFonts w:ascii="Garamond" w:hAnsi="Garamond"/>
        </w:rPr>
        <w:t xml:space="preserve"> 1.B; 1.C; 1.D; 1.E; 4.B; 4.C</w:t>
      </w:r>
      <w:r w:rsidR="00897982">
        <w:rPr>
          <w:rFonts w:ascii="Garamond" w:hAnsi="Garamond"/>
        </w:rPr>
        <w:t>.</w:t>
      </w:r>
    </w:p>
  </w:footnote>
  <w:footnote w:id="4">
    <w:p w14:paraId="09B174BA" w14:textId="22654EFD" w:rsidR="00894DBE" w:rsidRPr="00897982" w:rsidRDefault="00894DBE">
      <w:pPr>
        <w:pStyle w:val="FootnoteText"/>
        <w:rPr>
          <w:rFonts w:ascii="Garamond" w:hAnsi="Garamond"/>
        </w:rPr>
      </w:pPr>
      <w:r w:rsidRPr="00897982">
        <w:rPr>
          <w:rStyle w:val="FootnoteReference"/>
          <w:rFonts w:ascii="Garamond" w:hAnsi="Garamond"/>
        </w:rPr>
        <w:footnoteRef/>
      </w:r>
      <w:r w:rsidRPr="00897982">
        <w:rPr>
          <w:rFonts w:ascii="Garamond" w:hAnsi="Garamond"/>
        </w:rPr>
        <w:t xml:space="preserve"> </w:t>
      </w:r>
      <w:r w:rsidR="000D6C12" w:rsidRPr="000D6C12">
        <w:rPr>
          <w:rFonts w:ascii="Garamond" w:hAnsi="Garamond"/>
          <w:i/>
          <w:iCs/>
        </w:rPr>
        <w:t>NISTIR 8276 Key Practices</w:t>
      </w:r>
      <w:r w:rsidR="000D6C12">
        <w:rPr>
          <w:rFonts w:ascii="Garamond" w:hAnsi="Garamond"/>
        </w:rPr>
        <w:t xml:space="preserve"> and related guidance in </w:t>
      </w:r>
      <w:r w:rsidR="000D6C12" w:rsidRPr="000D6C12">
        <w:rPr>
          <w:rFonts w:ascii="Garamond" w:hAnsi="Garamond"/>
          <w:i/>
          <w:iCs/>
        </w:rPr>
        <w:t>NIST SP 800-161</w:t>
      </w:r>
      <w:r w:rsidR="000D6C12">
        <w:rPr>
          <w:rFonts w:ascii="Garamond" w:hAnsi="Garamond"/>
        </w:rPr>
        <w:t xml:space="preserve">. </w:t>
      </w:r>
      <w:r w:rsidR="00897982" w:rsidRPr="00CA751F">
        <w:rPr>
          <w:rFonts w:ascii="Garamond" w:hAnsi="Garamond"/>
          <w:i/>
          <w:iCs/>
        </w:rPr>
        <w:t>CSF subcategories</w:t>
      </w:r>
      <w:r w:rsidR="00897982">
        <w:rPr>
          <w:rFonts w:ascii="Garamond" w:hAnsi="Garamond"/>
        </w:rPr>
        <w:t xml:space="preserve"> </w:t>
      </w:r>
      <w:r w:rsidR="000B78B1" w:rsidRPr="00897982">
        <w:rPr>
          <w:rFonts w:ascii="Garamond" w:hAnsi="Garamond"/>
        </w:rPr>
        <w:t>ID.RA-09; GV.SC-01; GV.SC-02; GV.SC-03; GV.SC-04; GV.SC-05; GV.SC-06</w:t>
      </w:r>
      <w:r w:rsidR="00897982">
        <w:rPr>
          <w:rFonts w:ascii="Garamond" w:hAnsi="Garamond"/>
        </w:rPr>
        <w:t xml:space="preserve">. </w:t>
      </w:r>
      <w:r w:rsidR="00897982" w:rsidRPr="00CA751F">
        <w:rPr>
          <w:rFonts w:ascii="Garamond" w:hAnsi="Garamond"/>
          <w:i/>
          <w:iCs/>
        </w:rPr>
        <w:t>CISA</w:t>
      </w:r>
      <w:r w:rsidR="000B78B1" w:rsidRPr="00CA751F">
        <w:rPr>
          <w:rFonts w:ascii="Garamond" w:hAnsi="Garamond"/>
          <w:i/>
          <w:iCs/>
        </w:rPr>
        <w:t xml:space="preserve"> CPG</w:t>
      </w:r>
      <w:r w:rsidR="00897982" w:rsidRPr="00CA751F">
        <w:rPr>
          <w:rFonts w:ascii="Garamond" w:hAnsi="Garamond"/>
          <w:i/>
          <w:iCs/>
        </w:rPr>
        <w:t>s</w:t>
      </w:r>
      <w:r w:rsidR="000B78B1" w:rsidRPr="00897982">
        <w:rPr>
          <w:rFonts w:ascii="Garamond" w:hAnsi="Garamond"/>
        </w:rPr>
        <w:t xml:space="preserve"> 1.G; 1.H; 1.I; 2.Q</w:t>
      </w:r>
      <w:r w:rsidR="00897982">
        <w:rPr>
          <w:rFonts w:ascii="Garamond" w:hAnsi="Garamond"/>
        </w:rPr>
        <w:t>.</w:t>
      </w:r>
    </w:p>
  </w:footnote>
  <w:footnote w:id="5">
    <w:p w14:paraId="253AC293" w14:textId="368EECE3" w:rsidR="00897982" w:rsidRPr="00FF3C56" w:rsidRDefault="00897982" w:rsidP="00897982">
      <w:pPr>
        <w:pStyle w:val="FootnoteText"/>
        <w:rPr>
          <w:rFonts w:ascii="Garamond" w:hAnsi="Garamond"/>
        </w:rPr>
      </w:pPr>
      <w:r w:rsidRPr="00FF3C56">
        <w:rPr>
          <w:rStyle w:val="FootnoteReference"/>
          <w:rFonts w:ascii="Garamond" w:hAnsi="Garamond"/>
        </w:rPr>
        <w:footnoteRef/>
      </w:r>
      <w:r w:rsidRPr="00FF3C56">
        <w:rPr>
          <w:rFonts w:ascii="Garamond" w:hAnsi="Garamond"/>
        </w:rPr>
        <w:t xml:space="preserve"> </w:t>
      </w:r>
      <w:r w:rsidR="002E25C4" w:rsidRPr="00CA751F">
        <w:rPr>
          <w:rFonts w:ascii="Garamond" w:hAnsi="Garamond"/>
          <w:i/>
          <w:iCs/>
        </w:rPr>
        <w:t>CSF subcategory</w:t>
      </w:r>
      <w:r w:rsidR="002E25C4" w:rsidRPr="00FF3C56">
        <w:rPr>
          <w:rFonts w:ascii="Garamond" w:hAnsi="Garamond"/>
        </w:rPr>
        <w:t xml:space="preserve"> PR.IR-01. </w:t>
      </w:r>
      <w:r w:rsidR="002E25C4" w:rsidRPr="000D6C12">
        <w:rPr>
          <w:rFonts w:ascii="Garamond" w:hAnsi="Garamond"/>
          <w:i/>
          <w:iCs/>
        </w:rPr>
        <w:t>CISA CPG</w:t>
      </w:r>
      <w:r w:rsidR="000D6C12">
        <w:rPr>
          <w:rFonts w:ascii="Garamond" w:hAnsi="Garamond"/>
          <w:i/>
          <w:iCs/>
        </w:rPr>
        <w:t>s</w:t>
      </w:r>
      <w:r w:rsidR="002E25C4" w:rsidRPr="00FF3C56">
        <w:rPr>
          <w:rFonts w:ascii="Garamond" w:hAnsi="Garamond"/>
        </w:rPr>
        <w:t xml:space="preserve"> 2.F; 2.W; 2.X</w:t>
      </w:r>
      <w:r w:rsidRPr="00FF3C56">
        <w:rPr>
          <w:rFonts w:ascii="Garamond" w:hAnsi="Garamond"/>
        </w:rPr>
        <w:t>.</w:t>
      </w:r>
    </w:p>
  </w:footnote>
  <w:footnote w:id="6">
    <w:p w14:paraId="5A475997" w14:textId="04647B8F" w:rsidR="00897982" w:rsidRPr="00FF3C56" w:rsidRDefault="00897982" w:rsidP="00897982">
      <w:pPr>
        <w:pStyle w:val="FootnoteText"/>
        <w:rPr>
          <w:rFonts w:ascii="Garamond" w:hAnsi="Garamond"/>
        </w:rPr>
      </w:pPr>
      <w:r w:rsidRPr="00FF3C56">
        <w:rPr>
          <w:rStyle w:val="FootnoteReference"/>
          <w:rFonts w:ascii="Garamond" w:hAnsi="Garamond"/>
        </w:rPr>
        <w:footnoteRef/>
      </w:r>
      <w:r w:rsidRPr="00FF3C56">
        <w:rPr>
          <w:rFonts w:ascii="Garamond" w:hAnsi="Garamond"/>
        </w:rPr>
        <w:t xml:space="preserve"> </w:t>
      </w:r>
      <w:r w:rsidR="002E25C4" w:rsidRPr="00CA751F">
        <w:rPr>
          <w:rFonts w:ascii="Garamond" w:hAnsi="Garamond"/>
          <w:i/>
          <w:iCs/>
        </w:rPr>
        <w:t>CSF subcategories</w:t>
      </w:r>
      <w:r w:rsidR="002E25C4" w:rsidRPr="00FF3C56">
        <w:rPr>
          <w:rFonts w:ascii="Garamond" w:hAnsi="Garamond"/>
        </w:rPr>
        <w:t xml:space="preserve"> PR.AA-01; PR.AA-02; PR.AA-03; PR.AA-04; PR.AA-05; PR.AA-06. </w:t>
      </w:r>
      <w:r w:rsidR="002E25C4" w:rsidRPr="00CA751F">
        <w:rPr>
          <w:rFonts w:ascii="Garamond" w:hAnsi="Garamond"/>
          <w:i/>
          <w:iCs/>
        </w:rPr>
        <w:t>CISA CPGs</w:t>
      </w:r>
      <w:r w:rsidR="00376479" w:rsidRPr="00CA751F">
        <w:rPr>
          <w:rFonts w:ascii="Garamond" w:hAnsi="Garamond"/>
          <w:i/>
          <w:iCs/>
        </w:rPr>
        <w:t xml:space="preserve"> </w:t>
      </w:r>
      <w:r w:rsidR="00376479" w:rsidRPr="00FF3C56">
        <w:rPr>
          <w:rFonts w:ascii="Garamond" w:hAnsi="Garamond"/>
        </w:rPr>
        <w:t>2.A; 2.B; 2.C; 2.D; 2.E; 2.G; 2.H; 2.V.</w:t>
      </w:r>
    </w:p>
  </w:footnote>
  <w:footnote w:id="7">
    <w:p w14:paraId="7E44EE09" w14:textId="1DE4D539" w:rsidR="00897982" w:rsidRPr="00FF3C56" w:rsidRDefault="00897982" w:rsidP="00897982">
      <w:pPr>
        <w:pStyle w:val="FootnoteText"/>
        <w:rPr>
          <w:rFonts w:ascii="Garamond" w:hAnsi="Garamond"/>
        </w:rPr>
      </w:pPr>
      <w:r w:rsidRPr="00FF3C56">
        <w:rPr>
          <w:rStyle w:val="FootnoteReference"/>
          <w:rFonts w:ascii="Garamond" w:hAnsi="Garamond"/>
        </w:rPr>
        <w:footnoteRef/>
      </w:r>
      <w:r w:rsidRPr="00FF3C56">
        <w:rPr>
          <w:rFonts w:ascii="Garamond" w:hAnsi="Garamond"/>
        </w:rPr>
        <w:t xml:space="preserve"> </w:t>
      </w:r>
      <w:r w:rsidR="00376479" w:rsidRPr="00CA751F">
        <w:rPr>
          <w:rFonts w:ascii="Garamond" w:hAnsi="Garamond"/>
          <w:i/>
          <w:iCs/>
        </w:rPr>
        <w:t>CSF subcategories</w:t>
      </w:r>
      <w:r w:rsidR="00376479" w:rsidRPr="00FF3C56">
        <w:rPr>
          <w:rFonts w:ascii="Garamond" w:hAnsi="Garamond"/>
        </w:rPr>
        <w:t xml:space="preserve"> PR.DS-01; PR.DS-02; PR.DS-10; PR.DS-11. </w:t>
      </w:r>
      <w:r w:rsidR="00376479" w:rsidRPr="000D6C12">
        <w:rPr>
          <w:rFonts w:ascii="Garamond" w:hAnsi="Garamond"/>
          <w:i/>
          <w:iCs/>
        </w:rPr>
        <w:t>CISA CPGs</w:t>
      </w:r>
      <w:r w:rsidR="00376479" w:rsidRPr="00FF3C56">
        <w:rPr>
          <w:rFonts w:ascii="Garamond" w:hAnsi="Garamond"/>
        </w:rPr>
        <w:t xml:space="preserve"> 2.K; 2.L; 2.M; 2.R.</w:t>
      </w:r>
    </w:p>
  </w:footnote>
  <w:footnote w:id="8">
    <w:p w14:paraId="22652EEA" w14:textId="77777777" w:rsidR="009D6B97" w:rsidRPr="00210E0A" w:rsidRDefault="009D6B97" w:rsidP="009D6B97">
      <w:pPr>
        <w:pStyle w:val="FootnoteText"/>
        <w:rPr>
          <w:rFonts w:ascii="Garamond" w:hAnsi="Garamond"/>
        </w:rPr>
      </w:pPr>
      <w:r w:rsidRPr="00210E0A">
        <w:rPr>
          <w:rStyle w:val="FootnoteReference"/>
          <w:rFonts w:ascii="Garamond" w:hAnsi="Garamond"/>
        </w:rPr>
        <w:footnoteRef/>
      </w:r>
      <w:r w:rsidRPr="00210E0A">
        <w:rPr>
          <w:rFonts w:ascii="Garamond" w:hAnsi="Garamond"/>
        </w:rPr>
        <w:t xml:space="preserve"> </w:t>
      </w:r>
      <w:r w:rsidRPr="00436A81">
        <w:rPr>
          <w:rFonts w:ascii="Garamond" w:hAnsi="Garamond"/>
          <w:i/>
          <w:iCs/>
        </w:rPr>
        <w:t>NISTIR 8276 Key Practices</w:t>
      </w:r>
      <w:r w:rsidRPr="00436A81">
        <w:rPr>
          <w:rFonts w:ascii="Garamond" w:hAnsi="Garamond"/>
        </w:rPr>
        <w:t xml:space="preserve"> and related guidance in </w:t>
      </w:r>
      <w:r w:rsidRPr="00436A81">
        <w:rPr>
          <w:rFonts w:ascii="Garamond" w:hAnsi="Garamond"/>
          <w:i/>
          <w:iCs/>
        </w:rPr>
        <w:t>NIST SP 800-161</w:t>
      </w:r>
      <w:r w:rsidRPr="00436A81">
        <w:rPr>
          <w:rFonts w:ascii="Garamond" w:hAnsi="Garamond"/>
        </w:rPr>
        <w:t xml:space="preserve">. </w:t>
      </w:r>
      <w:r w:rsidRPr="00CA751F">
        <w:rPr>
          <w:rFonts w:ascii="Garamond" w:hAnsi="Garamond"/>
          <w:i/>
          <w:iCs/>
        </w:rPr>
        <w:t>CSF subcategor</w:t>
      </w:r>
      <w:r>
        <w:rPr>
          <w:rFonts w:ascii="Garamond" w:hAnsi="Garamond"/>
          <w:i/>
          <w:iCs/>
        </w:rPr>
        <w:t>ies</w:t>
      </w:r>
      <w:r w:rsidRPr="00210E0A">
        <w:rPr>
          <w:rFonts w:ascii="Garamond" w:hAnsi="Garamond"/>
        </w:rPr>
        <w:t xml:space="preserve"> ID.RA-07; PR.PS-01; DE.CM-09. </w:t>
      </w:r>
      <w:r w:rsidRPr="00CA751F">
        <w:rPr>
          <w:rFonts w:ascii="Garamond" w:hAnsi="Garamond"/>
          <w:i/>
          <w:iCs/>
        </w:rPr>
        <w:t>CISA CPGs</w:t>
      </w:r>
      <w:r w:rsidRPr="00210E0A">
        <w:rPr>
          <w:rFonts w:ascii="Garamond" w:hAnsi="Garamond"/>
        </w:rPr>
        <w:t xml:space="preserve"> 2.O; 2.P.</w:t>
      </w:r>
    </w:p>
  </w:footnote>
  <w:footnote w:id="9">
    <w:p w14:paraId="05B7255A" w14:textId="77777777" w:rsidR="009D6B97" w:rsidRPr="00FF3C56" w:rsidRDefault="009D6B97" w:rsidP="009D6B97">
      <w:pPr>
        <w:pStyle w:val="FootnoteText"/>
        <w:rPr>
          <w:rFonts w:ascii="Garamond" w:hAnsi="Garamond"/>
        </w:rPr>
      </w:pPr>
      <w:r w:rsidRPr="00FF3C56">
        <w:rPr>
          <w:rStyle w:val="FootnoteReference"/>
          <w:rFonts w:ascii="Garamond" w:hAnsi="Garamond"/>
        </w:rPr>
        <w:footnoteRef/>
      </w:r>
      <w:r w:rsidRPr="00FF3C56">
        <w:rPr>
          <w:rFonts w:ascii="Garamond" w:hAnsi="Garamond"/>
        </w:rPr>
        <w:t xml:space="preserve"> </w:t>
      </w:r>
      <w:r w:rsidRPr="00CA751F">
        <w:rPr>
          <w:rFonts w:ascii="Garamond" w:hAnsi="Garamond"/>
          <w:i/>
          <w:iCs/>
        </w:rPr>
        <w:t>CSF subcategories</w:t>
      </w:r>
      <w:r w:rsidRPr="00FF3C56">
        <w:rPr>
          <w:rFonts w:ascii="Garamond" w:hAnsi="Garamond"/>
        </w:rPr>
        <w:t xml:space="preserve"> PR.PS-04; DE.CM-01; DE.CM-02; DE.CM-06</w:t>
      </w:r>
      <w:r>
        <w:rPr>
          <w:rFonts w:ascii="Garamond" w:hAnsi="Garamond"/>
        </w:rPr>
        <w:t>; DE.AE-02; DE.AE-03; DE.AE-04; DE.AE-06; DE.AE-07</w:t>
      </w:r>
      <w:r w:rsidRPr="00FF3C56">
        <w:rPr>
          <w:rFonts w:ascii="Garamond" w:hAnsi="Garamond"/>
        </w:rPr>
        <w:t>. CISA CPGs 2.T; 2.U</w:t>
      </w:r>
      <w:r>
        <w:rPr>
          <w:rFonts w:ascii="Garamond" w:hAnsi="Garamond"/>
        </w:rPr>
        <w:t>; 3.A</w:t>
      </w:r>
      <w:r w:rsidRPr="00FF3C56">
        <w:rPr>
          <w:rFonts w:ascii="Garamond" w:hAnsi="Garamond"/>
        </w:rPr>
        <w:t>.</w:t>
      </w:r>
    </w:p>
  </w:footnote>
  <w:footnote w:id="10">
    <w:p w14:paraId="2C658F6D" w14:textId="6ED4AEFD" w:rsidR="00897982" w:rsidRPr="000E317C" w:rsidRDefault="00897982" w:rsidP="00897982">
      <w:pPr>
        <w:pStyle w:val="FootnoteText"/>
        <w:rPr>
          <w:rFonts w:ascii="Garamond" w:hAnsi="Garamond"/>
        </w:rPr>
      </w:pPr>
      <w:r w:rsidRPr="00FF3C56">
        <w:rPr>
          <w:rStyle w:val="FootnoteReference"/>
          <w:rFonts w:ascii="Garamond" w:hAnsi="Garamond"/>
        </w:rPr>
        <w:footnoteRef/>
      </w:r>
      <w:r w:rsidRPr="00FF3C56">
        <w:rPr>
          <w:rFonts w:ascii="Garamond" w:hAnsi="Garamond"/>
        </w:rPr>
        <w:t xml:space="preserve"> </w:t>
      </w:r>
      <w:r w:rsidR="00376479" w:rsidRPr="00CA751F">
        <w:rPr>
          <w:rFonts w:ascii="Garamond" w:hAnsi="Garamond"/>
          <w:i/>
          <w:iCs/>
        </w:rPr>
        <w:t>CSF subcategories</w:t>
      </w:r>
      <w:r w:rsidR="00376479" w:rsidRPr="00FF3C56">
        <w:rPr>
          <w:rFonts w:ascii="Garamond" w:hAnsi="Garamond"/>
        </w:rPr>
        <w:t xml:space="preserve"> PR.PS-05</w:t>
      </w:r>
      <w:r w:rsidR="000076DD" w:rsidRPr="00FF3C56">
        <w:rPr>
          <w:rFonts w:ascii="Garamond" w:hAnsi="Garamond"/>
        </w:rPr>
        <w:t>; DE.CM-03</w:t>
      </w:r>
      <w:r w:rsidR="001220A6" w:rsidRPr="00FF3C56">
        <w:rPr>
          <w:rFonts w:ascii="Garamond" w:hAnsi="Garamond"/>
        </w:rPr>
        <w:t xml:space="preserve">. </w:t>
      </w:r>
      <w:r w:rsidR="001220A6" w:rsidRPr="00CA751F">
        <w:rPr>
          <w:rFonts w:ascii="Garamond" w:hAnsi="Garamond"/>
          <w:i/>
          <w:iCs/>
        </w:rPr>
        <w:t>CISA CPG</w:t>
      </w:r>
      <w:r w:rsidR="00E21FFC" w:rsidRPr="00FF3C56">
        <w:rPr>
          <w:rFonts w:ascii="Garamond" w:hAnsi="Garamond"/>
        </w:rPr>
        <w:t xml:space="preserve"> 2.N.</w:t>
      </w:r>
    </w:p>
  </w:footnote>
  <w:footnote w:id="11">
    <w:p w14:paraId="500D9F5A" w14:textId="676582C7" w:rsidR="00897982" w:rsidRPr="00210E0A" w:rsidRDefault="00897982" w:rsidP="00897982">
      <w:pPr>
        <w:pStyle w:val="FootnoteText"/>
        <w:rPr>
          <w:rFonts w:ascii="Garamond" w:hAnsi="Garamond"/>
        </w:rPr>
      </w:pPr>
      <w:r w:rsidRPr="00210E0A">
        <w:rPr>
          <w:rStyle w:val="FootnoteReference"/>
          <w:rFonts w:ascii="Garamond" w:hAnsi="Garamond"/>
        </w:rPr>
        <w:footnoteRef/>
      </w:r>
      <w:r w:rsidRPr="00210E0A">
        <w:rPr>
          <w:rFonts w:ascii="Garamond" w:hAnsi="Garamond"/>
        </w:rPr>
        <w:t xml:space="preserve"> </w:t>
      </w:r>
      <w:r w:rsidR="00376479" w:rsidRPr="00CA751F">
        <w:rPr>
          <w:rFonts w:ascii="Garamond" w:hAnsi="Garamond"/>
          <w:i/>
          <w:iCs/>
        </w:rPr>
        <w:t>CSF subcategories</w:t>
      </w:r>
      <w:r w:rsidR="00376479" w:rsidRPr="00210E0A">
        <w:rPr>
          <w:rFonts w:ascii="Garamond" w:hAnsi="Garamond"/>
        </w:rPr>
        <w:t xml:space="preserve"> PR.AT-01; PR.AT-02. </w:t>
      </w:r>
      <w:r w:rsidR="00376479" w:rsidRPr="00CA751F">
        <w:rPr>
          <w:rFonts w:ascii="Garamond" w:hAnsi="Garamond"/>
          <w:i/>
          <w:iCs/>
        </w:rPr>
        <w:t>CISA CPGs</w:t>
      </w:r>
      <w:r w:rsidR="00376479" w:rsidRPr="00210E0A">
        <w:rPr>
          <w:rFonts w:ascii="Garamond" w:hAnsi="Garamond"/>
        </w:rPr>
        <w:t xml:space="preserve"> 2.I; 2.J.</w:t>
      </w:r>
    </w:p>
  </w:footnote>
  <w:footnote w:id="12">
    <w:p w14:paraId="35A71E1B" w14:textId="7230F9B0" w:rsidR="00897982" w:rsidRPr="00210E0A" w:rsidRDefault="00897982" w:rsidP="00897982">
      <w:pPr>
        <w:pStyle w:val="FootnoteText"/>
        <w:rPr>
          <w:rFonts w:ascii="Garamond" w:hAnsi="Garamond"/>
        </w:rPr>
      </w:pPr>
      <w:r w:rsidRPr="00210E0A">
        <w:rPr>
          <w:rStyle w:val="FootnoteReference"/>
          <w:rFonts w:ascii="Garamond" w:hAnsi="Garamond"/>
        </w:rPr>
        <w:footnoteRef/>
      </w:r>
      <w:r w:rsidRPr="00210E0A">
        <w:rPr>
          <w:rFonts w:ascii="Garamond" w:hAnsi="Garamond"/>
        </w:rPr>
        <w:t xml:space="preserve"> </w:t>
      </w:r>
      <w:r w:rsidR="00785FA1" w:rsidRPr="00CA751F">
        <w:rPr>
          <w:rFonts w:ascii="Garamond" w:hAnsi="Garamond"/>
          <w:i/>
          <w:iCs/>
        </w:rPr>
        <w:t>CSF subcategories</w:t>
      </w:r>
      <w:r w:rsidR="00785FA1" w:rsidRPr="00210E0A">
        <w:rPr>
          <w:rFonts w:ascii="Garamond" w:hAnsi="Garamond"/>
        </w:rPr>
        <w:t xml:space="preserve"> </w:t>
      </w:r>
      <w:r w:rsidR="00B454CA">
        <w:rPr>
          <w:rFonts w:ascii="Garamond" w:hAnsi="Garamond"/>
        </w:rPr>
        <w:t xml:space="preserve">DE.AE-08; </w:t>
      </w:r>
      <w:r w:rsidR="00785FA1" w:rsidRPr="00210E0A">
        <w:rPr>
          <w:rFonts w:ascii="Garamond" w:hAnsi="Garamond"/>
        </w:rPr>
        <w:t>RS.MA-01; RS.MA-02; RS.MA-03; RS.MA-04</w:t>
      </w:r>
      <w:r w:rsidR="005E06DC" w:rsidRPr="00210E0A">
        <w:rPr>
          <w:rFonts w:ascii="Garamond" w:hAnsi="Garamond"/>
        </w:rPr>
        <w:t>; RS.MA-05</w:t>
      </w:r>
      <w:r w:rsidR="00620D39" w:rsidRPr="00210E0A">
        <w:rPr>
          <w:rFonts w:ascii="Garamond" w:hAnsi="Garamond"/>
        </w:rPr>
        <w:t>; RS.</w:t>
      </w:r>
      <w:r w:rsidR="002940D7" w:rsidRPr="00210E0A">
        <w:rPr>
          <w:rFonts w:ascii="Garamond" w:hAnsi="Garamond"/>
        </w:rPr>
        <w:t>AN-03; RS.AN-06; RS.AN-07; RS.AN-08; RS.CO-02</w:t>
      </w:r>
      <w:r w:rsidR="008737FB" w:rsidRPr="00210E0A">
        <w:rPr>
          <w:rFonts w:ascii="Garamond" w:hAnsi="Garamond"/>
        </w:rPr>
        <w:t>; RS.CO-0</w:t>
      </w:r>
      <w:r w:rsidR="006F31EF">
        <w:rPr>
          <w:rFonts w:ascii="Garamond" w:hAnsi="Garamond"/>
        </w:rPr>
        <w:t>3</w:t>
      </w:r>
      <w:r w:rsidR="008737FB" w:rsidRPr="00210E0A">
        <w:rPr>
          <w:rFonts w:ascii="Garamond" w:hAnsi="Garamond"/>
        </w:rPr>
        <w:t>; RS.MI-01; RS.MI-02</w:t>
      </w:r>
      <w:r w:rsidR="005E06DC" w:rsidRPr="00210E0A">
        <w:rPr>
          <w:rFonts w:ascii="Garamond" w:hAnsi="Garamond"/>
        </w:rPr>
        <w:t>.</w:t>
      </w:r>
      <w:r w:rsidR="006F31EF">
        <w:rPr>
          <w:rFonts w:ascii="Garamond" w:hAnsi="Garamond"/>
        </w:rPr>
        <w:t xml:space="preserve"> </w:t>
      </w:r>
      <w:r w:rsidR="006F31EF" w:rsidRPr="00CA751F">
        <w:rPr>
          <w:rFonts w:ascii="Garamond" w:hAnsi="Garamond"/>
          <w:i/>
          <w:iCs/>
        </w:rPr>
        <w:t>CISA CPG</w:t>
      </w:r>
      <w:r w:rsidR="006F31EF">
        <w:rPr>
          <w:rFonts w:ascii="Garamond" w:hAnsi="Garamond"/>
        </w:rPr>
        <w:t xml:space="preserve"> </w:t>
      </w:r>
      <w:r w:rsidR="00BA6CD7">
        <w:rPr>
          <w:rFonts w:ascii="Garamond" w:hAnsi="Garamond"/>
        </w:rPr>
        <w:t>4.A.</w:t>
      </w:r>
    </w:p>
  </w:footnote>
  <w:footnote w:id="13">
    <w:p w14:paraId="44C2BD3E" w14:textId="3923A567" w:rsidR="00AE1135" w:rsidRPr="00CA751F" w:rsidRDefault="00AE1135">
      <w:pPr>
        <w:pStyle w:val="FootnoteText"/>
        <w:rPr>
          <w:rFonts w:ascii="Garamond" w:hAnsi="Garamond"/>
        </w:rPr>
      </w:pPr>
      <w:r w:rsidRPr="00CA751F">
        <w:rPr>
          <w:rStyle w:val="FootnoteReference"/>
          <w:rFonts w:ascii="Garamond" w:hAnsi="Garamond"/>
        </w:rPr>
        <w:footnoteRef/>
      </w:r>
      <w:r w:rsidRPr="00CA751F">
        <w:rPr>
          <w:rFonts w:ascii="Garamond" w:hAnsi="Garamond"/>
        </w:rPr>
        <w:t xml:space="preserve"> </w:t>
      </w:r>
      <w:r w:rsidR="00436A81" w:rsidRPr="00436A81">
        <w:rPr>
          <w:rFonts w:ascii="Garamond" w:hAnsi="Garamond"/>
          <w:i/>
          <w:iCs/>
        </w:rPr>
        <w:t>NISTIR 8276 Key Practices</w:t>
      </w:r>
      <w:r w:rsidR="00436A81" w:rsidRPr="00436A81">
        <w:rPr>
          <w:rFonts w:ascii="Garamond" w:hAnsi="Garamond"/>
        </w:rPr>
        <w:t xml:space="preserve"> and related guidance in </w:t>
      </w:r>
      <w:r w:rsidR="00436A81" w:rsidRPr="00436A81">
        <w:rPr>
          <w:rFonts w:ascii="Garamond" w:hAnsi="Garamond"/>
          <w:i/>
          <w:iCs/>
        </w:rPr>
        <w:t>NIST SP 800-161</w:t>
      </w:r>
      <w:r w:rsidR="00436A81" w:rsidRPr="00436A81">
        <w:rPr>
          <w:rFonts w:ascii="Garamond" w:hAnsi="Garamond"/>
        </w:rPr>
        <w:t xml:space="preserve">. </w:t>
      </w:r>
      <w:r w:rsidRPr="00CA751F">
        <w:rPr>
          <w:rFonts w:ascii="Garamond" w:hAnsi="Garamond"/>
          <w:i/>
          <w:iCs/>
        </w:rPr>
        <w:t>CSF subcategor</w:t>
      </w:r>
      <w:r w:rsidR="007C03D5" w:rsidRPr="00CA751F">
        <w:rPr>
          <w:rFonts w:ascii="Garamond" w:hAnsi="Garamond"/>
          <w:i/>
          <w:iCs/>
        </w:rPr>
        <w:t>ies</w:t>
      </w:r>
      <w:r w:rsidRPr="00CA751F">
        <w:rPr>
          <w:rFonts w:ascii="Garamond" w:hAnsi="Garamond"/>
        </w:rPr>
        <w:t xml:space="preserve"> </w:t>
      </w:r>
      <w:r w:rsidR="008827D4">
        <w:rPr>
          <w:rFonts w:ascii="Garamond" w:hAnsi="Garamond"/>
        </w:rPr>
        <w:t xml:space="preserve">PR.IR-02; </w:t>
      </w:r>
      <w:r w:rsidRPr="00CA751F">
        <w:rPr>
          <w:rFonts w:ascii="Garamond" w:hAnsi="Garamond"/>
        </w:rPr>
        <w:t>PR.IR-03</w:t>
      </w:r>
      <w:r w:rsidR="00A31AE9" w:rsidRPr="00CA751F">
        <w:rPr>
          <w:rFonts w:ascii="Garamond" w:hAnsi="Garamond"/>
        </w:rPr>
        <w:t>; PR.IR-04</w:t>
      </w:r>
      <w:r w:rsidR="00FF6988" w:rsidRPr="00CA751F">
        <w:rPr>
          <w:rFonts w:ascii="Garamond" w:hAnsi="Garamond"/>
        </w:rPr>
        <w:t>; RS.</w:t>
      </w:r>
      <w:r w:rsidR="00624AD5" w:rsidRPr="00CA751F">
        <w:rPr>
          <w:rFonts w:ascii="Garamond" w:hAnsi="Garamond"/>
        </w:rPr>
        <w:t>RP-01; RC.RP-02; RC.RP-03; RC.RP-0</w:t>
      </w:r>
      <w:r w:rsidR="00C05164" w:rsidRPr="00CA751F">
        <w:rPr>
          <w:rFonts w:ascii="Garamond" w:hAnsi="Garamond"/>
        </w:rPr>
        <w:t>4; RC.RP-05; RC.RP-06; RC.CO-03</w:t>
      </w:r>
      <w:r w:rsidR="00A051AE">
        <w:rPr>
          <w:rFonts w:ascii="Garamond" w:hAnsi="Garamond"/>
        </w:rPr>
        <w:t>; RC.CO-04</w:t>
      </w:r>
      <w:r w:rsidRPr="00CA751F">
        <w:rPr>
          <w:rFonts w:ascii="Garamond" w:hAnsi="Garamond"/>
        </w:rPr>
        <w:t>.</w:t>
      </w:r>
      <w:r w:rsidR="00507B80" w:rsidRPr="00CA751F">
        <w:rPr>
          <w:rFonts w:ascii="Garamond" w:hAnsi="Garamond"/>
        </w:rPr>
        <w:t xml:space="preserve"> </w:t>
      </w:r>
      <w:r w:rsidR="00507B80" w:rsidRPr="00CA751F">
        <w:rPr>
          <w:rFonts w:ascii="Garamond" w:hAnsi="Garamond"/>
          <w:i/>
          <w:iCs/>
        </w:rPr>
        <w:t>CISA CPG</w:t>
      </w:r>
      <w:r w:rsidR="00507B80" w:rsidRPr="00CA751F">
        <w:rPr>
          <w:rFonts w:ascii="Garamond" w:hAnsi="Garamond"/>
        </w:rPr>
        <w:t xml:space="preserve"> 5.A.</w:t>
      </w:r>
      <w:r w:rsidR="000F0A51">
        <w:rPr>
          <w:rFonts w:ascii="Garamond" w:hAnsi="Garamond"/>
        </w:rPr>
        <w:t xml:space="preserve"> </w:t>
      </w:r>
    </w:p>
  </w:footnote>
  <w:footnote w:id="14">
    <w:p w14:paraId="673AC68D" w14:textId="7ACD6448" w:rsidR="00897982" w:rsidRPr="00210E0A" w:rsidRDefault="00897982" w:rsidP="00897982">
      <w:pPr>
        <w:pStyle w:val="FootnoteText"/>
        <w:rPr>
          <w:rFonts w:ascii="Garamond" w:hAnsi="Garamond"/>
        </w:rPr>
      </w:pPr>
      <w:r w:rsidRPr="00210E0A">
        <w:rPr>
          <w:rStyle w:val="FootnoteReference"/>
          <w:rFonts w:ascii="Garamond" w:hAnsi="Garamond"/>
        </w:rPr>
        <w:footnoteRef/>
      </w:r>
      <w:r w:rsidRPr="00210E0A">
        <w:rPr>
          <w:rFonts w:ascii="Garamond" w:hAnsi="Garamond"/>
        </w:rPr>
        <w:t xml:space="preserve"> </w:t>
      </w:r>
      <w:r w:rsidR="00436A81" w:rsidRPr="00436A81">
        <w:rPr>
          <w:rFonts w:ascii="Garamond" w:hAnsi="Garamond"/>
          <w:i/>
          <w:iCs/>
        </w:rPr>
        <w:t>NISTIR 8276 Key Practices</w:t>
      </w:r>
      <w:r w:rsidR="00436A81" w:rsidRPr="00436A81">
        <w:rPr>
          <w:rFonts w:ascii="Garamond" w:hAnsi="Garamond"/>
        </w:rPr>
        <w:t xml:space="preserve"> and related guidance in </w:t>
      </w:r>
      <w:r w:rsidR="00436A81" w:rsidRPr="00436A81">
        <w:rPr>
          <w:rFonts w:ascii="Garamond" w:hAnsi="Garamond"/>
          <w:i/>
          <w:iCs/>
        </w:rPr>
        <w:t>NIST SP 800-161</w:t>
      </w:r>
      <w:r w:rsidR="00436A81" w:rsidRPr="00436A81">
        <w:rPr>
          <w:rFonts w:ascii="Garamond" w:hAnsi="Garamond"/>
        </w:rPr>
        <w:t xml:space="preserve">. </w:t>
      </w:r>
      <w:r w:rsidR="00FE42E3" w:rsidRPr="00CA751F">
        <w:rPr>
          <w:rFonts w:ascii="Garamond" w:hAnsi="Garamond"/>
          <w:i/>
          <w:iCs/>
        </w:rPr>
        <w:t>CSF subcategor</w:t>
      </w:r>
      <w:r w:rsidR="007C03D5" w:rsidRPr="00CA751F">
        <w:rPr>
          <w:rFonts w:ascii="Garamond" w:hAnsi="Garamond"/>
          <w:i/>
          <w:iCs/>
        </w:rPr>
        <w:t>ies</w:t>
      </w:r>
      <w:r w:rsidR="00FE42E3" w:rsidRPr="00210E0A">
        <w:rPr>
          <w:rFonts w:ascii="Garamond" w:hAnsi="Garamond"/>
        </w:rPr>
        <w:t xml:space="preserve"> </w:t>
      </w:r>
      <w:r w:rsidR="00851255" w:rsidRPr="00210E0A">
        <w:rPr>
          <w:rFonts w:ascii="Garamond" w:hAnsi="Garamond"/>
        </w:rPr>
        <w:t xml:space="preserve">GV.SC-08; </w:t>
      </w:r>
      <w:r w:rsidR="00FE42E3" w:rsidRPr="00210E0A">
        <w:rPr>
          <w:rFonts w:ascii="Garamond" w:hAnsi="Garamond"/>
        </w:rPr>
        <w:t>ID.IM-01; ID.IM-02</w:t>
      </w:r>
      <w:r w:rsidR="00392D86" w:rsidRPr="00210E0A">
        <w:rPr>
          <w:rFonts w:ascii="Garamond" w:hAnsi="Garamond"/>
        </w:rPr>
        <w:t>; ID.IM-03; ID.IM-04</w:t>
      </w:r>
      <w:r w:rsidR="00FE42E3" w:rsidRPr="00210E0A">
        <w:rPr>
          <w:rFonts w:ascii="Garamond" w:hAnsi="Garamond"/>
        </w:rPr>
        <w:t xml:space="preserve">. </w:t>
      </w:r>
      <w:r w:rsidR="00FE42E3" w:rsidRPr="00CA751F">
        <w:rPr>
          <w:rFonts w:ascii="Garamond" w:hAnsi="Garamond"/>
          <w:i/>
          <w:iCs/>
        </w:rPr>
        <w:t>CISA CPG</w:t>
      </w:r>
      <w:r w:rsidR="005C3D9B" w:rsidRPr="00CA751F">
        <w:rPr>
          <w:rFonts w:ascii="Garamond" w:hAnsi="Garamond"/>
          <w:i/>
          <w:iCs/>
        </w:rPr>
        <w:t>s</w:t>
      </w:r>
      <w:r w:rsidR="00FE42E3" w:rsidRPr="00210E0A">
        <w:rPr>
          <w:rFonts w:ascii="Garamond" w:hAnsi="Garamond"/>
        </w:rPr>
        <w:t xml:space="preserve"> </w:t>
      </w:r>
      <w:r w:rsidR="00392D86" w:rsidRPr="00210E0A">
        <w:rPr>
          <w:rFonts w:ascii="Garamond" w:hAnsi="Garamond"/>
        </w:rPr>
        <w:t xml:space="preserve">1.F; </w:t>
      </w:r>
      <w:r w:rsidR="00FE42E3" w:rsidRPr="00210E0A">
        <w:rPr>
          <w:rFonts w:ascii="Garamond" w:hAnsi="Garamond"/>
        </w:rPr>
        <w:t>2.S.</w:t>
      </w:r>
    </w:p>
  </w:footnote>
  <w:footnote w:id="15">
    <w:p w14:paraId="01E6D4CD" w14:textId="19E5CBEA" w:rsidR="00A8122F" w:rsidRPr="00CA751F" w:rsidRDefault="00A8122F">
      <w:pPr>
        <w:pStyle w:val="FootnoteText"/>
        <w:rPr>
          <w:rFonts w:ascii="Garamond" w:hAnsi="Garamond"/>
        </w:rPr>
      </w:pPr>
      <w:r w:rsidRPr="00CA751F">
        <w:rPr>
          <w:rStyle w:val="FootnoteReference"/>
          <w:rFonts w:ascii="Garamond" w:hAnsi="Garamond"/>
        </w:rPr>
        <w:footnoteRef/>
      </w:r>
      <w:r w:rsidRPr="00CA751F">
        <w:rPr>
          <w:rFonts w:ascii="Garamond" w:hAnsi="Garamond"/>
        </w:rPr>
        <w:t xml:space="preserve"> </w:t>
      </w:r>
      <w:r w:rsidR="00436A81" w:rsidRPr="00436A81">
        <w:rPr>
          <w:rFonts w:ascii="Garamond" w:hAnsi="Garamond"/>
          <w:i/>
          <w:iCs/>
        </w:rPr>
        <w:t>NISTIR 8276 Key Practices</w:t>
      </w:r>
      <w:r w:rsidR="00436A81" w:rsidRPr="00436A81">
        <w:rPr>
          <w:rFonts w:ascii="Garamond" w:hAnsi="Garamond"/>
        </w:rPr>
        <w:t xml:space="preserve"> and related guidance in </w:t>
      </w:r>
      <w:r w:rsidR="00436A81" w:rsidRPr="00436A81">
        <w:rPr>
          <w:rFonts w:ascii="Garamond" w:hAnsi="Garamond"/>
          <w:i/>
          <w:iCs/>
        </w:rPr>
        <w:t>NIST SP 800-161</w:t>
      </w:r>
      <w:r w:rsidR="00436A81" w:rsidRPr="00436A81">
        <w:rPr>
          <w:rFonts w:ascii="Garamond" w:hAnsi="Garamond"/>
        </w:rPr>
        <w:t xml:space="preserve">. </w:t>
      </w:r>
      <w:r w:rsidRPr="00CA751F">
        <w:rPr>
          <w:rFonts w:ascii="Garamond" w:hAnsi="Garamond"/>
          <w:i/>
          <w:iCs/>
        </w:rPr>
        <w:t>CSF subcategor</w:t>
      </w:r>
      <w:r w:rsidR="00FC5DD8" w:rsidRPr="00CA751F">
        <w:rPr>
          <w:rFonts w:ascii="Garamond" w:hAnsi="Garamond"/>
          <w:i/>
          <w:iCs/>
        </w:rPr>
        <w:t>ies</w:t>
      </w:r>
      <w:r w:rsidR="00FC5DD8" w:rsidRPr="00CA751F">
        <w:rPr>
          <w:rFonts w:ascii="Garamond" w:hAnsi="Garamond"/>
        </w:rPr>
        <w:t xml:space="preserve"> GV.OC-03</w:t>
      </w:r>
      <w:r w:rsidR="00DC1D32" w:rsidRPr="00CA751F">
        <w:rPr>
          <w:rFonts w:ascii="Garamond" w:hAnsi="Garamond"/>
        </w:rPr>
        <w:t>; GV.SC-09</w:t>
      </w:r>
      <w:r w:rsidR="001A589B" w:rsidRPr="00CA751F">
        <w:rPr>
          <w:rFonts w:ascii="Garamond" w:hAnsi="Garamond"/>
        </w:rPr>
        <w:t>; GV.RR-04</w:t>
      </w:r>
      <w:r w:rsidR="00FC5DD8" w:rsidRPr="00CA751F">
        <w:rPr>
          <w:rFonts w:ascii="Garamond" w:hAnsi="Garamond"/>
        </w:rPr>
        <w:t>.</w:t>
      </w:r>
    </w:p>
  </w:footnote>
  <w:footnote w:id="16">
    <w:p w14:paraId="6484B58B" w14:textId="42A5821B" w:rsidR="00412F3D" w:rsidRPr="00CA751F" w:rsidRDefault="00412F3D" w:rsidP="00412F3D">
      <w:pPr>
        <w:pStyle w:val="FootnoteText"/>
        <w:rPr>
          <w:rFonts w:ascii="Garamond" w:hAnsi="Garamond"/>
        </w:rPr>
      </w:pPr>
      <w:r w:rsidRPr="00CA751F">
        <w:rPr>
          <w:rStyle w:val="FootnoteReference"/>
          <w:rFonts w:ascii="Garamond" w:hAnsi="Garamond"/>
        </w:rPr>
        <w:footnoteRef/>
      </w:r>
      <w:r w:rsidRPr="00CA751F">
        <w:rPr>
          <w:rFonts w:ascii="Garamond" w:hAnsi="Garamond"/>
        </w:rPr>
        <w:t xml:space="preserve"> </w:t>
      </w:r>
      <w:bookmarkStart w:id="1" w:name="_Hlk149393926"/>
      <w:r w:rsidR="00436A81" w:rsidRPr="00436A81">
        <w:rPr>
          <w:rFonts w:ascii="Garamond" w:hAnsi="Garamond"/>
          <w:i/>
          <w:iCs/>
        </w:rPr>
        <w:t>NISTIR 8276 Key Practices</w:t>
      </w:r>
      <w:r w:rsidR="00436A81" w:rsidRPr="00436A81">
        <w:rPr>
          <w:rFonts w:ascii="Garamond" w:hAnsi="Garamond"/>
        </w:rPr>
        <w:t xml:space="preserve"> and related guidance in </w:t>
      </w:r>
      <w:r w:rsidR="00436A81" w:rsidRPr="00436A81">
        <w:rPr>
          <w:rFonts w:ascii="Garamond" w:hAnsi="Garamond"/>
          <w:i/>
          <w:iCs/>
        </w:rPr>
        <w:t>NIST SP 800-161</w:t>
      </w:r>
      <w:r w:rsidR="00436A81" w:rsidRPr="00436A81">
        <w:rPr>
          <w:rFonts w:ascii="Garamond" w:hAnsi="Garamond"/>
        </w:rPr>
        <w:t xml:space="preserve">. </w:t>
      </w:r>
      <w:bookmarkEnd w:id="1"/>
      <w:r w:rsidRPr="00CA751F">
        <w:rPr>
          <w:rFonts w:ascii="Garamond" w:hAnsi="Garamond"/>
          <w:i/>
          <w:iCs/>
        </w:rPr>
        <w:t>CSF subcategories</w:t>
      </w:r>
      <w:r w:rsidRPr="00CA751F">
        <w:rPr>
          <w:rFonts w:ascii="Garamond" w:hAnsi="Garamond"/>
        </w:rPr>
        <w:t xml:space="preserve"> </w:t>
      </w:r>
      <w:r w:rsidR="00E8046E" w:rsidRPr="00CA751F">
        <w:rPr>
          <w:rFonts w:ascii="Garamond" w:hAnsi="Garamond"/>
        </w:rPr>
        <w:t>GV.SC-07</w:t>
      </w:r>
      <w:r w:rsidR="000B176E" w:rsidRPr="00CA751F">
        <w:rPr>
          <w:rFonts w:ascii="Garamond" w:hAnsi="Garamond"/>
        </w:rPr>
        <w:t xml:space="preserve">; </w:t>
      </w:r>
      <w:r w:rsidR="00E04B7C">
        <w:rPr>
          <w:rFonts w:ascii="Garamond" w:hAnsi="Garamond"/>
        </w:rPr>
        <w:t>GV.SC-10;</w:t>
      </w:r>
      <w:r w:rsidR="006764D7" w:rsidRPr="00CA751F">
        <w:rPr>
          <w:rFonts w:ascii="Garamond" w:hAnsi="Garamond"/>
        </w:rPr>
        <w:t xml:space="preserve"> ID.AM-08</w:t>
      </w:r>
      <w:r w:rsidR="00E10E6E">
        <w:rPr>
          <w:rFonts w:ascii="Garamond" w:hAnsi="Garamond"/>
        </w:rPr>
        <w:t>; PR</w:t>
      </w:r>
      <w:r w:rsidR="00541481">
        <w:rPr>
          <w:rFonts w:ascii="Garamond" w:hAnsi="Garamond"/>
        </w:rPr>
        <w:t>.</w:t>
      </w:r>
      <w:r w:rsidR="00E10E6E">
        <w:rPr>
          <w:rFonts w:ascii="Garamond" w:hAnsi="Garamond"/>
        </w:rPr>
        <w:t>DS</w:t>
      </w:r>
      <w:r w:rsidR="00541481">
        <w:rPr>
          <w:rFonts w:ascii="Garamond" w:hAnsi="Garamond"/>
        </w:rPr>
        <w:t>-</w:t>
      </w:r>
      <w:r w:rsidR="00587226">
        <w:rPr>
          <w:rFonts w:ascii="Garamond" w:hAnsi="Garamond"/>
        </w:rPr>
        <w:t>09; PR.PS-02; PR.PS-03; PR.PS-06</w:t>
      </w:r>
      <w:r w:rsidR="00F236A3" w:rsidRPr="00CA751F">
        <w:rPr>
          <w:rFonts w:ascii="Garamond" w:hAnsi="Garamond"/>
        </w:rPr>
        <w:t>.</w:t>
      </w:r>
    </w:p>
  </w:footnote>
  <w:footnote w:id="17">
    <w:p w14:paraId="54DFF9C5" w14:textId="575E263A" w:rsidR="00897982" w:rsidRPr="000E317C" w:rsidRDefault="00897982" w:rsidP="00897982">
      <w:pPr>
        <w:pStyle w:val="FootnoteText"/>
        <w:rPr>
          <w:rFonts w:ascii="Garamond" w:hAnsi="Garamond"/>
        </w:rPr>
      </w:pPr>
      <w:r w:rsidRPr="00FF3C56">
        <w:rPr>
          <w:rStyle w:val="FootnoteReference"/>
          <w:rFonts w:ascii="Garamond" w:hAnsi="Garamond"/>
        </w:rPr>
        <w:footnoteRef/>
      </w:r>
      <w:r w:rsidRPr="00FF3C56">
        <w:rPr>
          <w:rFonts w:ascii="Garamond" w:hAnsi="Garamond"/>
        </w:rPr>
        <w:t xml:space="preserve"> </w:t>
      </w:r>
      <w:r w:rsidR="00436A81" w:rsidRPr="00436A81">
        <w:rPr>
          <w:rFonts w:ascii="Garamond" w:hAnsi="Garamond"/>
          <w:i/>
          <w:iCs/>
        </w:rPr>
        <w:t>NISTIR 8276 Key Practices</w:t>
      </w:r>
      <w:r w:rsidR="00436A81" w:rsidRPr="00436A81">
        <w:rPr>
          <w:rFonts w:ascii="Garamond" w:hAnsi="Garamond"/>
        </w:rPr>
        <w:t xml:space="preserve"> and related guidance in </w:t>
      </w:r>
      <w:r w:rsidR="00436A81" w:rsidRPr="00436A81">
        <w:rPr>
          <w:rFonts w:ascii="Garamond" w:hAnsi="Garamond"/>
          <w:i/>
          <w:iCs/>
        </w:rPr>
        <w:t>NIST SP 800-161</w:t>
      </w:r>
      <w:r w:rsidR="00436A81" w:rsidRPr="00436A81">
        <w:rPr>
          <w:rFonts w:ascii="Garamond" w:hAnsi="Garamond"/>
        </w:rPr>
        <w:t xml:space="preserve">. </w:t>
      </w:r>
      <w:r w:rsidR="00FC5DD8" w:rsidRPr="00CA751F">
        <w:rPr>
          <w:rFonts w:ascii="Garamond" w:hAnsi="Garamond"/>
          <w:i/>
          <w:iCs/>
        </w:rPr>
        <w:t>CSF subcategories</w:t>
      </w:r>
      <w:r w:rsidR="00FC5DD8">
        <w:rPr>
          <w:rFonts w:ascii="Garamond" w:hAnsi="Garamond"/>
        </w:rPr>
        <w:t xml:space="preserve"> GV.RM-07</w:t>
      </w:r>
      <w:r w:rsidR="004B1AB6">
        <w:rPr>
          <w:rFonts w:ascii="Garamond" w:hAnsi="Garamond"/>
        </w:rPr>
        <w:t xml:space="preserve">; </w:t>
      </w:r>
      <w:r w:rsidR="00CF3240">
        <w:rPr>
          <w:rFonts w:ascii="Garamond" w:hAnsi="Garamond"/>
        </w:rPr>
        <w:t>GV.PO-02</w:t>
      </w:r>
      <w:r w:rsidR="009A343A">
        <w:rPr>
          <w:rFonts w:ascii="Garamond" w:hAnsi="Garamond"/>
        </w:rPr>
        <w:t>; GV.OV-01; GV.OV-02; GV.OV-03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3A28A" w14:textId="1567FCDC" w:rsidR="00E465D7" w:rsidRDefault="00000000">
    <w:pPr>
      <w:pStyle w:val="Header"/>
    </w:pPr>
    <w:r>
      <w:rPr>
        <w:noProof/>
      </w:rPr>
      <w:pict w14:anchorId="738A2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48954" o:spid="_x0000_s1027" type="#_x0000_t136" alt="" style="position:absolute;margin-left:0;margin-top:0;width:549.9pt;height:109.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ISCUSSIO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9AAAF" w14:textId="6210E47D" w:rsidR="002D547D" w:rsidRDefault="00000000" w:rsidP="002D547D">
    <w:pPr>
      <w:pStyle w:val="Header"/>
      <w:jc w:val="right"/>
      <w:rPr>
        <w:rFonts w:ascii="Times New Roman" w:hAnsi="Times New Roman" w:cs="Times New Roman"/>
        <w:i/>
        <w:iCs/>
        <w:sz w:val="20"/>
        <w:szCs w:val="20"/>
      </w:rPr>
    </w:pPr>
    <w:r>
      <w:rPr>
        <w:noProof/>
      </w:rPr>
      <w:pict w14:anchorId="4C3FB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48955" o:spid="_x0000_s1026" type="#_x0000_t136" alt="" style="position:absolute;left:0;text-align:left;margin-left:0;margin-top:0;width:549.9pt;height:109.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ISCUSSION DRAFT"/>
          <w10:wrap anchorx="margin" anchory="margin"/>
        </v:shape>
      </w:pict>
    </w:r>
    <w:r w:rsidR="002D547D" w:rsidRPr="002D547D">
      <w:rPr>
        <w:rFonts w:ascii="Times New Roman" w:hAnsi="Times New Roman" w:cs="Times New Roman"/>
        <w:i/>
        <w:iCs/>
        <w:sz w:val="20"/>
        <w:szCs w:val="20"/>
      </w:rPr>
      <w:t xml:space="preserve">NTCA Template </w:t>
    </w:r>
  </w:p>
  <w:p w14:paraId="00B477BC" w14:textId="71C1CFFF" w:rsidR="002D547D" w:rsidRPr="002D547D" w:rsidRDefault="000D6C12" w:rsidP="002D547D">
    <w:pPr>
      <w:pStyle w:val="Header"/>
      <w:jc w:val="right"/>
      <w:rPr>
        <w:rFonts w:ascii="Times New Roman" w:hAnsi="Times New Roman" w:cs="Times New Roman"/>
        <w:i/>
        <w:iCs/>
        <w:sz w:val="20"/>
        <w:szCs w:val="20"/>
      </w:rPr>
    </w:pPr>
    <w:r>
      <w:rPr>
        <w:rFonts w:ascii="Times New Roman" w:hAnsi="Times New Roman" w:cs="Times New Roman"/>
        <w:i/>
        <w:iCs/>
        <w:sz w:val="20"/>
        <w:szCs w:val="20"/>
      </w:rPr>
      <w:t xml:space="preserve">DISCUSSION </w:t>
    </w:r>
    <w:r w:rsidR="002D547D">
      <w:rPr>
        <w:rFonts w:ascii="Times New Roman" w:hAnsi="Times New Roman" w:cs="Times New Roman"/>
        <w:i/>
        <w:iCs/>
        <w:sz w:val="20"/>
        <w:szCs w:val="20"/>
      </w:rPr>
      <w:t xml:space="preserve">DRAFT of </w:t>
    </w:r>
    <w:r w:rsidR="004B3A39">
      <w:rPr>
        <w:rFonts w:ascii="Times New Roman" w:hAnsi="Times New Roman" w:cs="Times New Roman"/>
        <w:i/>
        <w:iCs/>
        <w:sz w:val="20"/>
        <w:szCs w:val="20"/>
      </w:rPr>
      <w:t>March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2585C" w14:textId="6B382919" w:rsidR="00E465D7" w:rsidRDefault="00000000">
    <w:pPr>
      <w:pStyle w:val="Header"/>
    </w:pPr>
    <w:r>
      <w:rPr>
        <w:noProof/>
      </w:rPr>
      <w:pict w14:anchorId="56E6B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48953" o:spid="_x0000_s1025" type="#_x0000_t136" alt="" style="position:absolute;margin-left:0;margin-top:0;width:549.9pt;height:109.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ISCUSSION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4736"/>
    <w:multiLevelType w:val="hybridMultilevel"/>
    <w:tmpl w:val="70EC93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64733B"/>
    <w:multiLevelType w:val="hybridMultilevel"/>
    <w:tmpl w:val="E1AE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C337C"/>
    <w:multiLevelType w:val="hybridMultilevel"/>
    <w:tmpl w:val="2A9E5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96114F"/>
    <w:multiLevelType w:val="hybridMultilevel"/>
    <w:tmpl w:val="5280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443AA"/>
    <w:multiLevelType w:val="hybridMultilevel"/>
    <w:tmpl w:val="20689F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FF7011"/>
    <w:multiLevelType w:val="hybridMultilevel"/>
    <w:tmpl w:val="DD28D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43213"/>
    <w:multiLevelType w:val="hybridMultilevel"/>
    <w:tmpl w:val="667AB1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64069">
    <w:abstractNumId w:val="6"/>
  </w:num>
  <w:num w:numId="2" w16cid:durableId="915819552">
    <w:abstractNumId w:val="4"/>
  </w:num>
  <w:num w:numId="3" w16cid:durableId="1307971681">
    <w:abstractNumId w:val="0"/>
  </w:num>
  <w:num w:numId="4" w16cid:durableId="1993564181">
    <w:abstractNumId w:val="5"/>
  </w:num>
  <w:num w:numId="5" w16cid:durableId="1514951778">
    <w:abstractNumId w:val="2"/>
  </w:num>
  <w:num w:numId="6" w16cid:durableId="681319816">
    <w:abstractNumId w:val="3"/>
  </w:num>
  <w:num w:numId="7" w16cid:durableId="161867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89"/>
    <w:rsid w:val="000076DD"/>
    <w:rsid w:val="000148BC"/>
    <w:rsid w:val="00026F42"/>
    <w:rsid w:val="00030F98"/>
    <w:rsid w:val="00031AFB"/>
    <w:rsid w:val="000332A9"/>
    <w:rsid w:val="000453E5"/>
    <w:rsid w:val="00053642"/>
    <w:rsid w:val="000545F2"/>
    <w:rsid w:val="00054630"/>
    <w:rsid w:val="0006606B"/>
    <w:rsid w:val="00072B68"/>
    <w:rsid w:val="00075A2D"/>
    <w:rsid w:val="0008166C"/>
    <w:rsid w:val="0009203D"/>
    <w:rsid w:val="00093804"/>
    <w:rsid w:val="0009465C"/>
    <w:rsid w:val="000A2EFB"/>
    <w:rsid w:val="000B176E"/>
    <w:rsid w:val="000B689F"/>
    <w:rsid w:val="000B78B1"/>
    <w:rsid w:val="000D6292"/>
    <w:rsid w:val="000D6C12"/>
    <w:rsid w:val="000E07BB"/>
    <w:rsid w:val="000E317C"/>
    <w:rsid w:val="000E31DA"/>
    <w:rsid w:val="000E642E"/>
    <w:rsid w:val="000F0A51"/>
    <w:rsid w:val="000F2336"/>
    <w:rsid w:val="00105A21"/>
    <w:rsid w:val="00110DC1"/>
    <w:rsid w:val="001178BA"/>
    <w:rsid w:val="00120B49"/>
    <w:rsid w:val="001220A6"/>
    <w:rsid w:val="00122B3B"/>
    <w:rsid w:val="00146846"/>
    <w:rsid w:val="001475EC"/>
    <w:rsid w:val="00150FB6"/>
    <w:rsid w:val="00151547"/>
    <w:rsid w:val="00162692"/>
    <w:rsid w:val="00182351"/>
    <w:rsid w:val="001A4E36"/>
    <w:rsid w:val="001A589B"/>
    <w:rsid w:val="001B0926"/>
    <w:rsid w:val="001B5B70"/>
    <w:rsid w:val="001C1ABB"/>
    <w:rsid w:val="001D2C9E"/>
    <w:rsid w:val="001D6D79"/>
    <w:rsid w:val="001E7C38"/>
    <w:rsid w:val="001F103D"/>
    <w:rsid w:val="001F7BB3"/>
    <w:rsid w:val="00201F9E"/>
    <w:rsid w:val="00210E0A"/>
    <w:rsid w:val="00213482"/>
    <w:rsid w:val="00213708"/>
    <w:rsid w:val="00235144"/>
    <w:rsid w:val="00235D5E"/>
    <w:rsid w:val="00246D75"/>
    <w:rsid w:val="00252B3D"/>
    <w:rsid w:val="00256E2E"/>
    <w:rsid w:val="0027023A"/>
    <w:rsid w:val="00281C1B"/>
    <w:rsid w:val="00283C8F"/>
    <w:rsid w:val="002861B3"/>
    <w:rsid w:val="002861FA"/>
    <w:rsid w:val="002940D7"/>
    <w:rsid w:val="00295D94"/>
    <w:rsid w:val="00295E1F"/>
    <w:rsid w:val="002A13E3"/>
    <w:rsid w:val="002A2073"/>
    <w:rsid w:val="002B17AD"/>
    <w:rsid w:val="002B2B5E"/>
    <w:rsid w:val="002D357D"/>
    <w:rsid w:val="002D547D"/>
    <w:rsid w:val="002E25C4"/>
    <w:rsid w:val="002E60C5"/>
    <w:rsid w:val="002E7697"/>
    <w:rsid w:val="00310847"/>
    <w:rsid w:val="003123C0"/>
    <w:rsid w:val="00325FE9"/>
    <w:rsid w:val="00326EC0"/>
    <w:rsid w:val="003328DF"/>
    <w:rsid w:val="00335ED4"/>
    <w:rsid w:val="0033665B"/>
    <w:rsid w:val="0034031A"/>
    <w:rsid w:val="00344D86"/>
    <w:rsid w:val="0034728A"/>
    <w:rsid w:val="00350108"/>
    <w:rsid w:val="00351A93"/>
    <w:rsid w:val="0035260C"/>
    <w:rsid w:val="00356DEC"/>
    <w:rsid w:val="00361F0F"/>
    <w:rsid w:val="0036509F"/>
    <w:rsid w:val="00366F34"/>
    <w:rsid w:val="00367B8F"/>
    <w:rsid w:val="00376479"/>
    <w:rsid w:val="00392D86"/>
    <w:rsid w:val="003A2BEC"/>
    <w:rsid w:val="003B1EA6"/>
    <w:rsid w:val="003B346B"/>
    <w:rsid w:val="003B7BC2"/>
    <w:rsid w:val="003C6B06"/>
    <w:rsid w:val="003C732C"/>
    <w:rsid w:val="003D10EC"/>
    <w:rsid w:val="003E0773"/>
    <w:rsid w:val="00407190"/>
    <w:rsid w:val="00412F3D"/>
    <w:rsid w:val="0043425A"/>
    <w:rsid w:val="00436A81"/>
    <w:rsid w:val="0044537D"/>
    <w:rsid w:val="0044638C"/>
    <w:rsid w:val="00461A10"/>
    <w:rsid w:val="0047055F"/>
    <w:rsid w:val="00481AA7"/>
    <w:rsid w:val="00492C82"/>
    <w:rsid w:val="0049754F"/>
    <w:rsid w:val="004A0A57"/>
    <w:rsid w:val="004A22E0"/>
    <w:rsid w:val="004B1AB6"/>
    <w:rsid w:val="004B3A39"/>
    <w:rsid w:val="004B6012"/>
    <w:rsid w:val="004D3B27"/>
    <w:rsid w:val="004E39D5"/>
    <w:rsid w:val="004E6ABE"/>
    <w:rsid w:val="005008F6"/>
    <w:rsid w:val="00502CDA"/>
    <w:rsid w:val="005039FF"/>
    <w:rsid w:val="00507B80"/>
    <w:rsid w:val="0051365D"/>
    <w:rsid w:val="00516994"/>
    <w:rsid w:val="00517FCD"/>
    <w:rsid w:val="0052208F"/>
    <w:rsid w:val="00522AC4"/>
    <w:rsid w:val="00530343"/>
    <w:rsid w:val="00535202"/>
    <w:rsid w:val="005408DA"/>
    <w:rsid w:val="00541481"/>
    <w:rsid w:val="00544E7A"/>
    <w:rsid w:val="005461F2"/>
    <w:rsid w:val="005549DB"/>
    <w:rsid w:val="00576DF1"/>
    <w:rsid w:val="00582802"/>
    <w:rsid w:val="005867A7"/>
    <w:rsid w:val="00587226"/>
    <w:rsid w:val="005955F6"/>
    <w:rsid w:val="005A4E2D"/>
    <w:rsid w:val="005A6192"/>
    <w:rsid w:val="005B2C4A"/>
    <w:rsid w:val="005C01E2"/>
    <w:rsid w:val="005C3D9B"/>
    <w:rsid w:val="005C567A"/>
    <w:rsid w:val="005C56EA"/>
    <w:rsid w:val="005C6A9D"/>
    <w:rsid w:val="005E06DC"/>
    <w:rsid w:val="005F5243"/>
    <w:rsid w:val="005F7710"/>
    <w:rsid w:val="00600DBB"/>
    <w:rsid w:val="0060462B"/>
    <w:rsid w:val="00612ADB"/>
    <w:rsid w:val="00614FB6"/>
    <w:rsid w:val="00620D39"/>
    <w:rsid w:val="00624AD5"/>
    <w:rsid w:val="00630B1C"/>
    <w:rsid w:val="00631294"/>
    <w:rsid w:val="00633E0F"/>
    <w:rsid w:val="006456EE"/>
    <w:rsid w:val="00645D0F"/>
    <w:rsid w:val="0064673E"/>
    <w:rsid w:val="006764D7"/>
    <w:rsid w:val="00681DC6"/>
    <w:rsid w:val="006855E1"/>
    <w:rsid w:val="006A03FA"/>
    <w:rsid w:val="006B6284"/>
    <w:rsid w:val="006D6318"/>
    <w:rsid w:val="006E7516"/>
    <w:rsid w:val="006F0038"/>
    <w:rsid w:val="006F31EF"/>
    <w:rsid w:val="006F754F"/>
    <w:rsid w:val="006F7F9A"/>
    <w:rsid w:val="00712C5A"/>
    <w:rsid w:val="00733970"/>
    <w:rsid w:val="0073776A"/>
    <w:rsid w:val="0074002F"/>
    <w:rsid w:val="00760D57"/>
    <w:rsid w:val="007640EA"/>
    <w:rsid w:val="00766E6C"/>
    <w:rsid w:val="007806F6"/>
    <w:rsid w:val="00782CE9"/>
    <w:rsid w:val="00785FA1"/>
    <w:rsid w:val="007879DA"/>
    <w:rsid w:val="00791A0C"/>
    <w:rsid w:val="00795102"/>
    <w:rsid w:val="007A2D0C"/>
    <w:rsid w:val="007C03D5"/>
    <w:rsid w:val="007C4B1C"/>
    <w:rsid w:val="007C6C59"/>
    <w:rsid w:val="007D5EF2"/>
    <w:rsid w:val="007E39A0"/>
    <w:rsid w:val="007F1640"/>
    <w:rsid w:val="00815389"/>
    <w:rsid w:val="00816D1A"/>
    <w:rsid w:val="00835284"/>
    <w:rsid w:val="00851255"/>
    <w:rsid w:val="00853D67"/>
    <w:rsid w:val="00865CA2"/>
    <w:rsid w:val="00866D74"/>
    <w:rsid w:val="008737FB"/>
    <w:rsid w:val="008827D4"/>
    <w:rsid w:val="0089331E"/>
    <w:rsid w:val="00894DBE"/>
    <w:rsid w:val="00897982"/>
    <w:rsid w:val="008A3E82"/>
    <w:rsid w:val="008B5451"/>
    <w:rsid w:val="008C00CC"/>
    <w:rsid w:val="008C3615"/>
    <w:rsid w:val="008C3DDC"/>
    <w:rsid w:val="008D27AB"/>
    <w:rsid w:val="008D2B2E"/>
    <w:rsid w:val="008F0904"/>
    <w:rsid w:val="008F1DB0"/>
    <w:rsid w:val="008F4629"/>
    <w:rsid w:val="008F7909"/>
    <w:rsid w:val="009160F3"/>
    <w:rsid w:val="00930B3A"/>
    <w:rsid w:val="00935562"/>
    <w:rsid w:val="00944809"/>
    <w:rsid w:val="009448AB"/>
    <w:rsid w:val="00952068"/>
    <w:rsid w:val="0095328B"/>
    <w:rsid w:val="00953F42"/>
    <w:rsid w:val="0095738F"/>
    <w:rsid w:val="009833DF"/>
    <w:rsid w:val="00983967"/>
    <w:rsid w:val="0098470B"/>
    <w:rsid w:val="00991247"/>
    <w:rsid w:val="00996EC7"/>
    <w:rsid w:val="009A0E08"/>
    <w:rsid w:val="009A343A"/>
    <w:rsid w:val="009A4229"/>
    <w:rsid w:val="009A75CB"/>
    <w:rsid w:val="009B36DF"/>
    <w:rsid w:val="009C31FD"/>
    <w:rsid w:val="009C67EB"/>
    <w:rsid w:val="009D31BD"/>
    <w:rsid w:val="009D3B21"/>
    <w:rsid w:val="009D6B97"/>
    <w:rsid w:val="009E41FF"/>
    <w:rsid w:val="009E53AE"/>
    <w:rsid w:val="009E772A"/>
    <w:rsid w:val="009F048B"/>
    <w:rsid w:val="009F0F61"/>
    <w:rsid w:val="009F10DB"/>
    <w:rsid w:val="00A03FBF"/>
    <w:rsid w:val="00A051AE"/>
    <w:rsid w:val="00A11869"/>
    <w:rsid w:val="00A150D0"/>
    <w:rsid w:val="00A31AE9"/>
    <w:rsid w:val="00A443D4"/>
    <w:rsid w:val="00A44448"/>
    <w:rsid w:val="00A44480"/>
    <w:rsid w:val="00A56FF4"/>
    <w:rsid w:val="00A74514"/>
    <w:rsid w:val="00A8122F"/>
    <w:rsid w:val="00A81C85"/>
    <w:rsid w:val="00A82DB4"/>
    <w:rsid w:val="00A84D48"/>
    <w:rsid w:val="00A853AB"/>
    <w:rsid w:val="00A91BC5"/>
    <w:rsid w:val="00A95A2C"/>
    <w:rsid w:val="00AA41D6"/>
    <w:rsid w:val="00AC2420"/>
    <w:rsid w:val="00AC4E6B"/>
    <w:rsid w:val="00AC549E"/>
    <w:rsid w:val="00AC6F7E"/>
    <w:rsid w:val="00AD0D32"/>
    <w:rsid w:val="00AD4354"/>
    <w:rsid w:val="00AD690C"/>
    <w:rsid w:val="00AE1135"/>
    <w:rsid w:val="00AE5FCD"/>
    <w:rsid w:val="00AF1961"/>
    <w:rsid w:val="00AF300D"/>
    <w:rsid w:val="00B00E71"/>
    <w:rsid w:val="00B038F9"/>
    <w:rsid w:val="00B04D3B"/>
    <w:rsid w:val="00B11919"/>
    <w:rsid w:val="00B16386"/>
    <w:rsid w:val="00B22B04"/>
    <w:rsid w:val="00B320DB"/>
    <w:rsid w:val="00B34A10"/>
    <w:rsid w:val="00B454CA"/>
    <w:rsid w:val="00B5283F"/>
    <w:rsid w:val="00B65331"/>
    <w:rsid w:val="00B6560C"/>
    <w:rsid w:val="00B7299C"/>
    <w:rsid w:val="00B737F3"/>
    <w:rsid w:val="00B85DEC"/>
    <w:rsid w:val="00B86A61"/>
    <w:rsid w:val="00B9003E"/>
    <w:rsid w:val="00B9101F"/>
    <w:rsid w:val="00BA26AC"/>
    <w:rsid w:val="00BA6CD7"/>
    <w:rsid w:val="00BB0792"/>
    <w:rsid w:val="00BC2F16"/>
    <w:rsid w:val="00BE704C"/>
    <w:rsid w:val="00BF509A"/>
    <w:rsid w:val="00C05164"/>
    <w:rsid w:val="00C06E93"/>
    <w:rsid w:val="00C100AA"/>
    <w:rsid w:val="00C149CE"/>
    <w:rsid w:val="00C23B78"/>
    <w:rsid w:val="00C37CF1"/>
    <w:rsid w:val="00C51DC5"/>
    <w:rsid w:val="00C52CD1"/>
    <w:rsid w:val="00C61006"/>
    <w:rsid w:val="00C67E19"/>
    <w:rsid w:val="00C92163"/>
    <w:rsid w:val="00CA0A55"/>
    <w:rsid w:val="00CA1C59"/>
    <w:rsid w:val="00CA751F"/>
    <w:rsid w:val="00CB434A"/>
    <w:rsid w:val="00CC1673"/>
    <w:rsid w:val="00CC782E"/>
    <w:rsid w:val="00CD1767"/>
    <w:rsid w:val="00CD416A"/>
    <w:rsid w:val="00CE1F58"/>
    <w:rsid w:val="00CE7270"/>
    <w:rsid w:val="00CF3240"/>
    <w:rsid w:val="00D0012B"/>
    <w:rsid w:val="00D33C4B"/>
    <w:rsid w:val="00D362CD"/>
    <w:rsid w:val="00D42652"/>
    <w:rsid w:val="00D469F9"/>
    <w:rsid w:val="00D550B1"/>
    <w:rsid w:val="00D56937"/>
    <w:rsid w:val="00D65989"/>
    <w:rsid w:val="00D71C94"/>
    <w:rsid w:val="00D738E0"/>
    <w:rsid w:val="00D77487"/>
    <w:rsid w:val="00D92979"/>
    <w:rsid w:val="00DA447C"/>
    <w:rsid w:val="00DA549A"/>
    <w:rsid w:val="00DB4C1D"/>
    <w:rsid w:val="00DC1D32"/>
    <w:rsid w:val="00DE1CF6"/>
    <w:rsid w:val="00E02A65"/>
    <w:rsid w:val="00E04B7C"/>
    <w:rsid w:val="00E103E3"/>
    <w:rsid w:val="00E10E6E"/>
    <w:rsid w:val="00E12562"/>
    <w:rsid w:val="00E14A22"/>
    <w:rsid w:val="00E161D1"/>
    <w:rsid w:val="00E21FFC"/>
    <w:rsid w:val="00E22151"/>
    <w:rsid w:val="00E24305"/>
    <w:rsid w:val="00E24DEF"/>
    <w:rsid w:val="00E427B8"/>
    <w:rsid w:val="00E45818"/>
    <w:rsid w:val="00E465D7"/>
    <w:rsid w:val="00E47671"/>
    <w:rsid w:val="00E5268B"/>
    <w:rsid w:val="00E538FA"/>
    <w:rsid w:val="00E67977"/>
    <w:rsid w:val="00E8046E"/>
    <w:rsid w:val="00E86441"/>
    <w:rsid w:val="00E9092B"/>
    <w:rsid w:val="00EB251A"/>
    <w:rsid w:val="00EB25B8"/>
    <w:rsid w:val="00EB286E"/>
    <w:rsid w:val="00EC1ECD"/>
    <w:rsid w:val="00ED345F"/>
    <w:rsid w:val="00ED5BF7"/>
    <w:rsid w:val="00ED6FAF"/>
    <w:rsid w:val="00EE23E3"/>
    <w:rsid w:val="00F10070"/>
    <w:rsid w:val="00F12588"/>
    <w:rsid w:val="00F236A3"/>
    <w:rsid w:val="00F3334C"/>
    <w:rsid w:val="00F33CF8"/>
    <w:rsid w:val="00F37458"/>
    <w:rsid w:val="00F42E6B"/>
    <w:rsid w:val="00F55B1D"/>
    <w:rsid w:val="00F620AC"/>
    <w:rsid w:val="00F62A1B"/>
    <w:rsid w:val="00F75666"/>
    <w:rsid w:val="00F776D2"/>
    <w:rsid w:val="00F92CF2"/>
    <w:rsid w:val="00FA14BD"/>
    <w:rsid w:val="00FB3944"/>
    <w:rsid w:val="00FC3406"/>
    <w:rsid w:val="00FC5DD8"/>
    <w:rsid w:val="00FD18AC"/>
    <w:rsid w:val="00FE42E3"/>
    <w:rsid w:val="00FF1447"/>
    <w:rsid w:val="00FF3601"/>
    <w:rsid w:val="00FF3C56"/>
    <w:rsid w:val="00FF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2D9C"/>
  <w15:chartTrackingRefBased/>
  <w15:docId w15:val="{82FE8DED-423A-47C2-B9FE-FD68803A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989"/>
    <w:pPr>
      <w:ind w:left="720"/>
      <w:contextualSpacing/>
    </w:pPr>
  </w:style>
  <w:style w:type="character" w:styleId="CommentReference">
    <w:name w:val="annotation reference"/>
    <w:basedOn w:val="DefaultParagraphFont"/>
    <w:uiPriority w:val="99"/>
    <w:semiHidden/>
    <w:unhideWhenUsed/>
    <w:rsid w:val="00C23B78"/>
    <w:rPr>
      <w:sz w:val="16"/>
      <w:szCs w:val="16"/>
    </w:rPr>
  </w:style>
  <w:style w:type="paragraph" w:styleId="CommentText">
    <w:name w:val="annotation text"/>
    <w:basedOn w:val="Normal"/>
    <w:link w:val="CommentTextChar"/>
    <w:uiPriority w:val="99"/>
    <w:unhideWhenUsed/>
    <w:rsid w:val="00C23B78"/>
    <w:pPr>
      <w:spacing w:line="240" w:lineRule="auto"/>
    </w:pPr>
    <w:rPr>
      <w:sz w:val="20"/>
      <w:szCs w:val="20"/>
    </w:rPr>
  </w:style>
  <w:style w:type="character" w:customStyle="1" w:styleId="CommentTextChar">
    <w:name w:val="Comment Text Char"/>
    <w:basedOn w:val="DefaultParagraphFont"/>
    <w:link w:val="CommentText"/>
    <w:uiPriority w:val="99"/>
    <w:rsid w:val="00C23B78"/>
    <w:rPr>
      <w:sz w:val="20"/>
      <w:szCs w:val="20"/>
    </w:rPr>
  </w:style>
  <w:style w:type="paragraph" w:styleId="CommentSubject">
    <w:name w:val="annotation subject"/>
    <w:basedOn w:val="CommentText"/>
    <w:next w:val="CommentText"/>
    <w:link w:val="CommentSubjectChar"/>
    <w:uiPriority w:val="99"/>
    <w:semiHidden/>
    <w:unhideWhenUsed/>
    <w:rsid w:val="00C23B78"/>
    <w:rPr>
      <w:b/>
      <w:bCs/>
    </w:rPr>
  </w:style>
  <w:style w:type="character" w:customStyle="1" w:styleId="CommentSubjectChar">
    <w:name w:val="Comment Subject Char"/>
    <w:basedOn w:val="CommentTextChar"/>
    <w:link w:val="CommentSubject"/>
    <w:uiPriority w:val="99"/>
    <w:semiHidden/>
    <w:rsid w:val="00C23B78"/>
    <w:rPr>
      <w:b/>
      <w:bCs/>
      <w:sz w:val="20"/>
      <w:szCs w:val="20"/>
    </w:rPr>
  </w:style>
  <w:style w:type="paragraph" w:styleId="Header">
    <w:name w:val="header"/>
    <w:basedOn w:val="Normal"/>
    <w:link w:val="HeaderChar"/>
    <w:uiPriority w:val="99"/>
    <w:unhideWhenUsed/>
    <w:rsid w:val="00B04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D3B"/>
  </w:style>
  <w:style w:type="paragraph" w:styleId="Footer">
    <w:name w:val="footer"/>
    <w:basedOn w:val="Normal"/>
    <w:link w:val="FooterChar"/>
    <w:uiPriority w:val="99"/>
    <w:unhideWhenUsed/>
    <w:rsid w:val="00B04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3B"/>
  </w:style>
  <w:style w:type="paragraph" w:styleId="NormalWeb">
    <w:name w:val="Normal (Web)"/>
    <w:basedOn w:val="Normal"/>
    <w:uiPriority w:val="99"/>
    <w:unhideWhenUsed/>
    <w:rsid w:val="00614F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0E31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17C"/>
    <w:rPr>
      <w:sz w:val="20"/>
      <w:szCs w:val="20"/>
    </w:rPr>
  </w:style>
  <w:style w:type="character" w:styleId="FootnoteReference">
    <w:name w:val="footnote reference"/>
    <w:basedOn w:val="DefaultParagraphFont"/>
    <w:uiPriority w:val="99"/>
    <w:semiHidden/>
    <w:unhideWhenUsed/>
    <w:rsid w:val="000E317C"/>
    <w:rPr>
      <w:vertAlign w:val="superscript"/>
    </w:rPr>
  </w:style>
  <w:style w:type="paragraph" w:styleId="Revision">
    <w:name w:val="Revision"/>
    <w:hidden/>
    <w:uiPriority w:val="99"/>
    <w:semiHidden/>
    <w:rsid w:val="00325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771556">
      <w:bodyDiv w:val="1"/>
      <w:marLeft w:val="0"/>
      <w:marRight w:val="0"/>
      <w:marTop w:val="0"/>
      <w:marBottom w:val="0"/>
      <w:divBdr>
        <w:top w:val="none" w:sz="0" w:space="0" w:color="auto"/>
        <w:left w:val="none" w:sz="0" w:space="0" w:color="auto"/>
        <w:bottom w:val="none" w:sz="0" w:space="0" w:color="auto"/>
        <w:right w:val="none" w:sz="0" w:space="0" w:color="auto"/>
      </w:divBdr>
    </w:div>
    <w:div w:id="449322813">
      <w:bodyDiv w:val="1"/>
      <w:marLeft w:val="0"/>
      <w:marRight w:val="0"/>
      <w:marTop w:val="0"/>
      <w:marBottom w:val="0"/>
      <w:divBdr>
        <w:top w:val="none" w:sz="0" w:space="0" w:color="auto"/>
        <w:left w:val="none" w:sz="0" w:space="0" w:color="auto"/>
        <w:bottom w:val="none" w:sz="0" w:space="0" w:color="auto"/>
        <w:right w:val="none" w:sz="0" w:space="0" w:color="auto"/>
      </w:divBdr>
    </w:div>
    <w:div w:id="994794027">
      <w:bodyDiv w:val="1"/>
      <w:marLeft w:val="0"/>
      <w:marRight w:val="0"/>
      <w:marTop w:val="0"/>
      <w:marBottom w:val="0"/>
      <w:divBdr>
        <w:top w:val="none" w:sz="0" w:space="0" w:color="auto"/>
        <w:left w:val="none" w:sz="0" w:space="0" w:color="auto"/>
        <w:bottom w:val="none" w:sz="0" w:space="0" w:color="auto"/>
        <w:right w:val="none" w:sz="0" w:space="0" w:color="auto"/>
      </w:divBdr>
    </w:div>
    <w:div w:id="1001003398">
      <w:bodyDiv w:val="1"/>
      <w:marLeft w:val="0"/>
      <w:marRight w:val="0"/>
      <w:marTop w:val="0"/>
      <w:marBottom w:val="0"/>
      <w:divBdr>
        <w:top w:val="none" w:sz="0" w:space="0" w:color="auto"/>
        <w:left w:val="none" w:sz="0" w:space="0" w:color="auto"/>
        <w:bottom w:val="none" w:sz="0" w:space="0" w:color="auto"/>
        <w:right w:val="none" w:sz="0" w:space="0" w:color="auto"/>
      </w:divBdr>
    </w:div>
    <w:div w:id="14781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Naughton</cp:lastModifiedBy>
  <cp:revision>2</cp:revision>
  <dcterms:created xsi:type="dcterms:W3CDTF">2024-03-22T17:08:00Z</dcterms:created>
  <dcterms:modified xsi:type="dcterms:W3CDTF">2024-03-22T17:08:00Z</dcterms:modified>
</cp:coreProperties>
</file>